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E07" w:rsidRPr="00254E07" w:rsidRDefault="00254E07" w:rsidP="00254E07">
      <w:pPr>
        <w:outlineLvl w:val="0"/>
        <w:rPr>
          <w:rFonts w:ascii="Helvetica Neue" w:eastAsia="Times New Roman" w:hAnsi="Helvetica Neue" w:cs="Times New Roman"/>
          <w:b/>
          <w:bCs/>
          <w:color w:val="55ADDF"/>
          <w:kern w:val="36"/>
          <w:sz w:val="48"/>
          <w:szCs w:val="48"/>
        </w:rPr>
      </w:pPr>
      <w:r w:rsidRPr="00254E07">
        <w:rPr>
          <w:rFonts w:ascii="Helvetica Neue" w:eastAsia="Times New Roman" w:hAnsi="Helvetica Neue" w:cs="Times New Roman"/>
          <w:b/>
          <w:bCs/>
          <w:color w:val="55ADDF"/>
          <w:kern w:val="36"/>
          <w:sz w:val="48"/>
          <w:szCs w:val="48"/>
        </w:rPr>
        <w:t>INSPIROL</w:t>
      </w:r>
      <w:r w:rsidRPr="00254E07">
        <w:rPr>
          <w:rFonts w:ascii="Helvetica Neue" w:eastAsia="Times New Roman" w:hAnsi="Helvetica Neue" w:cs="Times New Roman"/>
          <w:b/>
          <w:bCs/>
          <w:color w:val="55ADDF"/>
          <w:kern w:val="36"/>
          <w:sz w:val="48"/>
          <w:szCs w:val="48"/>
          <w:vertAlign w:val="superscript"/>
        </w:rPr>
        <w:t>®</w:t>
      </w:r>
    </w:p>
    <w:p w:rsidR="00254E07" w:rsidRPr="00254E07" w:rsidRDefault="00254E07" w:rsidP="00254E07">
      <w:pPr>
        <w:spacing w:before="100" w:beforeAutospacing="1" w:after="100" w:afterAutospacing="1"/>
        <w:outlineLvl w:val="1"/>
        <w:rPr>
          <w:rFonts w:ascii="Helvetica Neue" w:eastAsia="Times New Roman" w:hAnsi="Helvetica Neue" w:cs="Times New Roman"/>
          <w:b/>
          <w:bCs/>
          <w:color w:val="000000"/>
          <w:sz w:val="36"/>
          <w:szCs w:val="36"/>
        </w:rPr>
      </w:pPr>
      <w:r w:rsidRPr="00254E07">
        <w:rPr>
          <w:rFonts w:ascii="Helvetica Neue" w:eastAsia="Times New Roman" w:hAnsi="Helvetica Neue" w:cs="Times New Roman"/>
          <w:b/>
          <w:bCs/>
          <w:color w:val="000000"/>
          <w:sz w:val="36"/>
          <w:szCs w:val="36"/>
        </w:rPr>
        <w:t>LAZAR</w:t>
      </w:r>
    </w:p>
    <w:p w:rsidR="00254E07" w:rsidRPr="00254E07" w:rsidRDefault="00254E07" w:rsidP="00254E07">
      <w:pPr>
        <w:spacing w:before="100" w:beforeAutospacing="1" w:after="100" w:afterAutospacing="1" w:line="360" w:lineRule="atLeast"/>
        <w:jc w:val="both"/>
        <w:rPr>
          <w:rFonts w:ascii="Helvetica Neue" w:hAnsi="Helvetica Neue" w:cs="Times New Roman"/>
          <w:color w:val="000000"/>
          <w:sz w:val="27"/>
          <w:szCs w:val="27"/>
        </w:rPr>
      </w:pPr>
      <w:r w:rsidRPr="00254E07">
        <w:rPr>
          <w:rFonts w:ascii="Helvetica Neue" w:hAnsi="Helvetica Neue" w:cs="Times New Roman"/>
          <w:i/>
          <w:iCs/>
          <w:color w:val="000000"/>
          <w:sz w:val="27"/>
          <w:szCs w:val="27"/>
        </w:rPr>
        <w:t xml:space="preserve">El montelukast es </w:t>
      </w:r>
      <w:proofErr w:type="gramStart"/>
      <w:r w:rsidRPr="00254E07">
        <w:rPr>
          <w:rFonts w:ascii="Helvetica Neue" w:hAnsi="Helvetica Neue" w:cs="Times New Roman"/>
          <w:i/>
          <w:iCs/>
          <w:color w:val="000000"/>
          <w:sz w:val="27"/>
          <w:szCs w:val="27"/>
        </w:rPr>
        <w:t>un</w:t>
      </w:r>
      <w:proofErr w:type="gramEnd"/>
      <w:r w:rsidRPr="00254E07">
        <w:rPr>
          <w:rFonts w:ascii="Helvetica Neue" w:hAnsi="Helvetica Neue" w:cs="Times New Roman"/>
          <w:i/>
          <w:iCs/>
          <w:color w:val="000000"/>
          <w:sz w:val="27"/>
          <w:szCs w:val="27"/>
        </w:rPr>
        <w:t xml:space="preserve"> antagonista selectivo de los receptores de leucotrienos, activo por vía oral, que inhibe específicamente los receptores de cisteinil leucotrieno (CysLT</w:t>
      </w:r>
      <w:r w:rsidRPr="00254E07">
        <w:rPr>
          <w:rFonts w:ascii="Helvetica Neue" w:hAnsi="Helvetica Neue" w:cs="Times New Roman"/>
          <w:i/>
          <w:iCs/>
          <w:color w:val="000000"/>
          <w:sz w:val="27"/>
          <w:szCs w:val="27"/>
          <w:vertAlign w:val="subscript"/>
        </w:rPr>
        <w:t>1</w:t>
      </w:r>
      <w:r w:rsidRPr="00254E07">
        <w:rPr>
          <w:rFonts w:ascii="Helvetica Neue" w:hAnsi="Helvetica Neue" w:cs="Times New Roman"/>
          <w:i/>
          <w:iCs/>
          <w:color w:val="000000"/>
          <w:sz w:val="27"/>
          <w:szCs w:val="27"/>
        </w:rPr>
        <w:t>).</w:t>
      </w:r>
    </w:p>
    <w:p w:rsidR="00254E07" w:rsidRPr="00254E07" w:rsidRDefault="00254E07" w:rsidP="00254E07">
      <w:pPr>
        <w:spacing w:before="100" w:beforeAutospacing="1" w:after="100" w:afterAutospacing="1"/>
        <w:outlineLvl w:val="3"/>
        <w:rPr>
          <w:rFonts w:ascii="Helvetica Neue" w:eastAsia="Times New Roman" w:hAnsi="Helvetica Neue" w:cs="Times New Roman"/>
          <w:b/>
          <w:bCs/>
          <w:color w:val="000000"/>
          <w:sz w:val="27"/>
          <w:szCs w:val="27"/>
        </w:rPr>
      </w:pPr>
      <w:r w:rsidRPr="00254E07">
        <w:rPr>
          <w:rFonts w:ascii="Helvetica Neue" w:eastAsia="Times New Roman" w:hAnsi="Helvetica Neue" w:cs="Times New Roman"/>
          <w:b/>
          <w:bCs/>
          <w:color w:val="000000"/>
          <w:sz w:val="27"/>
          <w:szCs w:val="27"/>
        </w:rPr>
        <w:t>Composición.</w:t>
      </w:r>
    </w:p>
    <w:p w:rsidR="00254E07" w:rsidRPr="00254E07" w:rsidRDefault="00254E07" w:rsidP="00254E07">
      <w:pPr>
        <w:spacing w:before="100" w:beforeAutospacing="1" w:after="100" w:afterAutospacing="1" w:line="360" w:lineRule="atLeast"/>
        <w:jc w:val="both"/>
        <w:rPr>
          <w:rFonts w:ascii="Helvetica Neue" w:hAnsi="Helvetica Neue" w:cs="Times New Roman"/>
          <w:color w:val="000000"/>
          <w:sz w:val="27"/>
          <w:szCs w:val="27"/>
        </w:rPr>
      </w:pPr>
      <w:r w:rsidRPr="00254E07">
        <w:rPr>
          <w:rFonts w:ascii="Helvetica Neue" w:hAnsi="Helvetica Neue" w:cs="Times New Roman"/>
          <w:color w:val="000000"/>
          <w:sz w:val="27"/>
          <w:szCs w:val="27"/>
        </w:rPr>
        <w:t>Cada comprimido masticable de INSPIROL</w:t>
      </w:r>
      <w:r w:rsidRPr="00254E07">
        <w:rPr>
          <w:rFonts w:ascii="Helvetica Neue" w:hAnsi="Helvetica Neue" w:cs="Times New Roman"/>
          <w:color w:val="000000"/>
          <w:sz w:val="27"/>
          <w:szCs w:val="27"/>
          <w:vertAlign w:val="superscript"/>
        </w:rPr>
        <w:t>®</w:t>
      </w:r>
      <w:r w:rsidRPr="00254E07">
        <w:rPr>
          <w:rFonts w:ascii="Helvetica Neue" w:hAnsi="Helvetica Neue" w:cs="Times New Roman"/>
          <w:color w:val="000000"/>
          <w:sz w:val="27"/>
          <w:szCs w:val="27"/>
        </w:rPr>
        <w:t> 4 contiene: Montelukast (como sal sódica): 4.000 mg; Aspartame: 1.200 mg; Celulosa microcristalina PH 101: 80.000 mg; Ac-Di-Sol: 7.200 mg; Estearato de magnesio: 2.400 mg; Methocel E15: 12.000 mg; Manitol: 129.090 mg; Oxido de hierro rojo: 0.360 mg; Esencia de cereza: 3.600 mg. Cada comprimido masticable de INSPIROL</w:t>
      </w:r>
      <w:r w:rsidRPr="00254E07">
        <w:rPr>
          <w:rFonts w:ascii="Helvetica Neue" w:hAnsi="Helvetica Neue" w:cs="Times New Roman"/>
          <w:color w:val="000000"/>
          <w:sz w:val="27"/>
          <w:szCs w:val="27"/>
          <w:vertAlign w:val="superscript"/>
        </w:rPr>
        <w:t>®</w:t>
      </w:r>
      <w:r w:rsidRPr="00254E07">
        <w:rPr>
          <w:rFonts w:ascii="Helvetica Neue" w:hAnsi="Helvetica Neue" w:cs="Times New Roman"/>
          <w:color w:val="000000"/>
          <w:sz w:val="27"/>
          <w:szCs w:val="27"/>
        </w:rPr>
        <w:t> 5 contiene: Montelukast (como sal sódica): 5.000 mg; Aspartame: 1.500 mg; Celulosa microcristalina PH 101: 100.000 mg; Ac-Di-Sol: 9.000 mg; Estearato de magnesio: 3.000 mg; Methocel E15: 15.000 mg; Manitol: 161.362 mg; Oxido de hierro rojo: 0.450 mg; Esencia de cereza: 4.500 mg. Cada comprimido recubierto de INSPIROL</w:t>
      </w:r>
      <w:r w:rsidRPr="00254E07">
        <w:rPr>
          <w:rFonts w:ascii="Helvetica Neue" w:hAnsi="Helvetica Neue" w:cs="Times New Roman"/>
          <w:color w:val="000000"/>
          <w:sz w:val="27"/>
          <w:szCs w:val="27"/>
          <w:vertAlign w:val="superscript"/>
        </w:rPr>
        <w:t>®</w:t>
      </w:r>
      <w:r w:rsidRPr="00254E07">
        <w:rPr>
          <w:rFonts w:ascii="Helvetica Neue" w:hAnsi="Helvetica Neue" w:cs="Times New Roman"/>
          <w:color w:val="000000"/>
          <w:sz w:val="27"/>
          <w:szCs w:val="27"/>
        </w:rPr>
        <w:t> 10 contiene: Montelukast (como sal sódica): 10.000 mg; Celulosa microcristalina PH 200: 89.300 mg; Ac-Di-Sol: 6.000 mg; Estearato de magnesio: 1.000 mg; Lactosa monohidrato CD: 93.325 mg; Opadry IS-1-7003: 7.000 mg.</w:t>
      </w:r>
    </w:p>
    <w:p w:rsidR="00254E07" w:rsidRPr="00254E07" w:rsidRDefault="00254E07" w:rsidP="00254E07">
      <w:pPr>
        <w:spacing w:before="100" w:beforeAutospacing="1" w:after="100" w:afterAutospacing="1"/>
        <w:outlineLvl w:val="3"/>
        <w:rPr>
          <w:rFonts w:ascii="Helvetica Neue" w:eastAsia="Times New Roman" w:hAnsi="Helvetica Neue" w:cs="Times New Roman"/>
          <w:b/>
          <w:bCs/>
          <w:color w:val="000000"/>
          <w:sz w:val="27"/>
          <w:szCs w:val="27"/>
        </w:rPr>
      </w:pPr>
      <w:r w:rsidRPr="00254E07">
        <w:rPr>
          <w:rFonts w:ascii="Helvetica Neue" w:eastAsia="Times New Roman" w:hAnsi="Helvetica Neue" w:cs="Times New Roman"/>
          <w:b/>
          <w:bCs/>
          <w:color w:val="000000"/>
          <w:sz w:val="27"/>
          <w:szCs w:val="27"/>
        </w:rPr>
        <w:t>Farmacología.</w:t>
      </w:r>
    </w:p>
    <w:p w:rsidR="00254E07" w:rsidRPr="00254E07" w:rsidRDefault="00254E07" w:rsidP="00254E07">
      <w:pPr>
        <w:spacing w:before="100" w:beforeAutospacing="1" w:after="100" w:afterAutospacing="1" w:line="360" w:lineRule="atLeast"/>
        <w:jc w:val="both"/>
        <w:rPr>
          <w:rFonts w:ascii="Helvetica Neue" w:hAnsi="Helvetica Neue" w:cs="Times New Roman"/>
          <w:color w:val="000000"/>
          <w:sz w:val="27"/>
          <w:szCs w:val="27"/>
        </w:rPr>
      </w:pPr>
      <w:r w:rsidRPr="00254E07">
        <w:rPr>
          <w:rFonts w:ascii="Helvetica Neue" w:hAnsi="Helvetica Neue" w:cs="Times New Roman"/>
          <w:color w:val="000000"/>
          <w:sz w:val="27"/>
          <w:szCs w:val="27"/>
        </w:rPr>
        <w:t xml:space="preserve">Los cisteinil leucotrienos (LTC4, LTD4, LTE4) son potentes eicosanoides inflamatorios liberados por varias células tales </w:t>
      </w:r>
      <w:proofErr w:type="gramStart"/>
      <w:r w:rsidRPr="00254E07">
        <w:rPr>
          <w:rFonts w:ascii="Helvetica Neue" w:hAnsi="Helvetica Neue" w:cs="Times New Roman"/>
          <w:color w:val="000000"/>
          <w:sz w:val="27"/>
          <w:szCs w:val="27"/>
        </w:rPr>
        <w:t>como</w:t>
      </w:r>
      <w:proofErr w:type="gramEnd"/>
      <w:r w:rsidRPr="00254E07">
        <w:rPr>
          <w:rFonts w:ascii="Helvetica Neue" w:hAnsi="Helvetica Neue" w:cs="Times New Roman"/>
          <w:color w:val="000000"/>
          <w:sz w:val="27"/>
          <w:szCs w:val="27"/>
        </w:rPr>
        <w:t xml:space="preserve">: mastocitos y eosinófilos. Estos importantes mediadores pro-asmáticos se fijan a los receptores de los cisteinil leucotrienos (CysLT) que se encuentran en las vías respiratorias y causan allí diversas acciones que incluyen: broncoconstricción, secreción de moco, aumento de la permeabilidad vascular y reclutamiento de eosinófilos. El montelukast es </w:t>
      </w:r>
      <w:proofErr w:type="gramStart"/>
      <w:r w:rsidRPr="00254E07">
        <w:rPr>
          <w:rFonts w:ascii="Helvetica Neue" w:hAnsi="Helvetica Neue" w:cs="Times New Roman"/>
          <w:color w:val="000000"/>
          <w:sz w:val="27"/>
          <w:szCs w:val="27"/>
        </w:rPr>
        <w:t>un</w:t>
      </w:r>
      <w:proofErr w:type="gramEnd"/>
      <w:r w:rsidRPr="00254E07">
        <w:rPr>
          <w:rFonts w:ascii="Helvetica Neue" w:hAnsi="Helvetica Neue" w:cs="Times New Roman"/>
          <w:color w:val="000000"/>
          <w:sz w:val="27"/>
          <w:szCs w:val="27"/>
        </w:rPr>
        <w:t xml:space="preserve"> potente compuesto, activo por vía oral que mejora en forma significativa los parámetros de inflamación asmática. Si se consideran los bioensayos bioquímicos y farmacológicos, el montelukast se fija con alta afinidad y selectividad al receptor CysLT1 (que a otros receptores farmacológicamente importante de las vías </w:t>
      </w:r>
      <w:r w:rsidRPr="00254E07">
        <w:rPr>
          <w:rFonts w:ascii="Helvetica Neue" w:hAnsi="Helvetica Neue" w:cs="Times New Roman"/>
          <w:color w:val="000000"/>
          <w:sz w:val="27"/>
          <w:szCs w:val="27"/>
        </w:rPr>
        <w:lastRenderedPageBreak/>
        <w:t xml:space="preserve">respiratorias tales como los receptores de prostanoides, colinérgicos o beta-adrenérgicos). </w:t>
      </w:r>
      <w:proofErr w:type="gramStart"/>
      <w:r w:rsidRPr="00254E07">
        <w:rPr>
          <w:rFonts w:ascii="Helvetica Neue" w:hAnsi="Helvetica Neue" w:cs="Times New Roman"/>
          <w:color w:val="000000"/>
          <w:sz w:val="27"/>
          <w:szCs w:val="27"/>
        </w:rPr>
        <w:t>El montelukast inhibe por esta vía las acciones fisiológicas del LTC4, LTD4 y LTE4 en el receptor CysLT1, sin ninguna actividad agonista.</w:t>
      </w:r>
      <w:proofErr w:type="gramEnd"/>
      <w:r w:rsidRPr="00254E07">
        <w:rPr>
          <w:rFonts w:ascii="Helvetica Neue" w:hAnsi="Helvetica Neue" w:cs="Times New Roman"/>
          <w:color w:val="000000"/>
          <w:sz w:val="27"/>
          <w:szCs w:val="27"/>
        </w:rPr>
        <w:t xml:space="preserve"> En pulmón se encuentra presente </w:t>
      </w:r>
      <w:proofErr w:type="gramStart"/>
      <w:r w:rsidRPr="00254E07">
        <w:rPr>
          <w:rFonts w:ascii="Helvetica Neue" w:hAnsi="Helvetica Neue" w:cs="Times New Roman"/>
          <w:color w:val="000000"/>
          <w:sz w:val="27"/>
          <w:szCs w:val="27"/>
        </w:rPr>
        <w:t>un</w:t>
      </w:r>
      <w:proofErr w:type="gramEnd"/>
      <w:r w:rsidRPr="00254E07">
        <w:rPr>
          <w:rFonts w:ascii="Helvetica Neue" w:hAnsi="Helvetica Neue" w:cs="Times New Roman"/>
          <w:color w:val="000000"/>
          <w:sz w:val="27"/>
          <w:szCs w:val="27"/>
        </w:rPr>
        <w:t xml:space="preserve"> segundo receptor de los cisteinil leucotrienos (CysLT2) pero parece estar confinado a los vasos sanguíneos. No se </w:t>
      </w:r>
      <w:proofErr w:type="gramStart"/>
      <w:r w:rsidRPr="00254E07">
        <w:rPr>
          <w:rFonts w:ascii="Helvetica Neue" w:hAnsi="Helvetica Neue" w:cs="Times New Roman"/>
          <w:color w:val="000000"/>
          <w:sz w:val="27"/>
          <w:szCs w:val="27"/>
        </w:rPr>
        <w:t>cree</w:t>
      </w:r>
      <w:proofErr w:type="gramEnd"/>
      <w:r w:rsidRPr="00254E07">
        <w:rPr>
          <w:rFonts w:ascii="Helvetica Neue" w:hAnsi="Helvetica Neue" w:cs="Times New Roman"/>
          <w:color w:val="000000"/>
          <w:sz w:val="27"/>
          <w:szCs w:val="27"/>
        </w:rPr>
        <w:t xml:space="preserve"> que el montelukast antagonice el receptor CysLT2.</w:t>
      </w:r>
    </w:p>
    <w:p w:rsidR="00254E07" w:rsidRPr="00254E07" w:rsidRDefault="00254E07" w:rsidP="00254E07">
      <w:pPr>
        <w:spacing w:before="100" w:beforeAutospacing="1" w:after="100" w:afterAutospacing="1"/>
        <w:outlineLvl w:val="3"/>
        <w:rPr>
          <w:rFonts w:ascii="Helvetica Neue" w:eastAsia="Times New Roman" w:hAnsi="Helvetica Neue" w:cs="Times New Roman"/>
          <w:b/>
          <w:bCs/>
          <w:color w:val="000000"/>
          <w:sz w:val="27"/>
          <w:szCs w:val="27"/>
        </w:rPr>
      </w:pPr>
      <w:r w:rsidRPr="00254E07">
        <w:rPr>
          <w:rFonts w:ascii="Helvetica Neue" w:eastAsia="Times New Roman" w:hAnsi="Helvetica Neue" w:cs="Times New Roman"/>
          <w:b/>
          <w:bCs/>
          <w:color w:val="000000"/>
          <w:sz w:val="27"/>
          <w:szCs w:val="27"/>
        </w:rPr>
        <w:t>Indicaciones.</w:t>
      </w:r>
    </w:p>
    <w:p w:rsidR="00254E07" w:rsidRPr="00254E07" w:rsidRDefault="00254E07" w:rsidP="00254E07">
      <w:pPr>
        <w:spacing w:before="100" w:beforeAutospacing="1" w:after="100" w:afterAutospacing="1" w:line="360" w:lineRule="atLeast"/>
        <w:jc w:val="both"/>
        <w:rPr>
          <w:rFonts w:ascii="Helvetica Neue" w:hAnsi="Helvetica Neue" w:cs="Times New Roman"/>
          <w:color w:val="000000"/>
          <w:sz w:val="27"/>
          <w:szCs w:val="27"/>
        </w:rPr>
      </w:pPr>
      <w:r w:rsidRPr="00254E07">
        <w:rPr>
          <w:rFonts w:ascii="Helvetica Neue" w:hAnsi="Helvetica Neue" w:cs="Times New Roman"/>
          <w:color w:val="000000"/>
          <w:sz w:val="27"/>
          <w:szCs w:val="27"/>
        </w:rPr>
        <w:t>INSPIROL</w:t>
      </w:r>
      <w:r w:rsidRPr="00254E07">
        <w:rPr>
          <w:rFonts w:ascii="Helvetica Neue" w:hAnsi="Helvetica Neue" w:cs="Times New Roman"/>
          <w:color w:val="000000"/>
          <w:sz w:val="27"/>
          <w:szCs w:val="27"/>
          <w:vertAlign w:val="superscript"/>
        </w:rPr>
        <w:t>®</w:t>
      </w:r>
      <w:r w:rsidRPr="00254E07">
        <w:rPr>
          <w:rFonts w:ascii="Helvetica Neue" w:hAnsi="Helvetica Neue" w:cs="Times New Roman"/>
          <w:color w:val="000000"/>
          <w:sz w:val="27"/>
          <w:szCs w:val="27"/>
        </w:rPr>
        <w:t> está indicado en pacientes adultos y niños de 2 años de edad y mayores para la profilaxis y el tratamiento crónico del asma, incluyendo la prevención de los síntomas diurnos y nocturnos, el tratamiento de pacientes asmáticos sensibles al ácido acetilsalicílico, y la prevención de la broncoconstricción inducida por el ejercicio.</w:t>
      </w:r>
    </w:p>
    <w:p w:rsidR="00254E07" w:rsidRPr="00254E07" w:rsidRDefault="00254E07" w:rsidP="00254E07">
      <w:pPr>
        <w:spacing w:before="100" w:beforeAutospacing="1" w:after="100" w:afterAutospacing="1"/>
        <w:outlineLvl w:val="3"/>
        <w:rPr>
          <w:rFonts w:ascii="Helvetica Neue" w:eastAsia="Times New Roman" w:hAnsi="Helvetica Neue" w:cs="Times New Roman"/>
          <w:b/>
          <w:bCs/>
          <w:color w:val="000000"/>
          <w:sz w:val="27"/>
          <w:szCs w:val="27"/>
        </w:rPr>
      </w:pPr>
      <w:r w:rsidRPr="00254E07">
        <w:rPr>
          <w:rFonts w:ascii="Helvetica Neue" w:eastAsia="Times New Roman" w:hAnsi="Helvetica Neue" w:cs="Times New Roman"/>
          <w:b/>
          <w:bCs/>
          <w:color w:val="000000"/>
          <w:sz w:val="27"/>
          <w:szCs w:val="27"/>
        </w:rPr>
        <w:t>Dosificación.</w:t>
      </w:r>
    </w:p>
    <w:p w:rsidR="00254E07" w:rsidRPr="00254E07" w:rsidRDefault="00254E07" w:rsidP="00254E07">
      <w:pPr>
        <w:spacing w:before="100" w:beforeAutospacing="1" w:after="100" w:afterAutospacing="1" w:line="360" w:lineRule="atLeast"/>
        <w:jc w:val="both"/>
        <w:rPr>
          <w:rFonts w:ascii="Helvetica Neue" w:hAnsi="Helvetica Neue" w:cs="Times New Roman"/>
          <w:color w:val="000000"/>
          <w:sz w:val="27"/>
          <w:szCs w:val="27"/>
        </w:rPr>
      </w:pPr>
      <w:r w:rsidRPr="00254E07">
        <w:rPr>
          <w:rFonts w:ascii="Helvetica Neue" w:hAnsi="Helvetica Neue" w:cs="Times New Roman"/>
          <w:i/>
          <w:iCs/>
          <w:color w:val="000000"/>
          <w:sz w:val="27"/>
          <w:szCs w:val="27"/>
        </w:rPr>
        <w:t>Adultos de 15 años de edad o mayores: </w:t>
      </w:r>
      <w:r w:rsidRPr="00254E07">
        <w:rPr>
          <w:rFonts w:ascii="Helvetica Neue" w:hAnsi="Helvetica Neue" w:cs="Times New Roman"/>
          <w:color w:val="000000"/>
          <w:sz w:val="27"/>
          <w:szCs w:val="27"/>
        </w:rPr>
        <w:t>1 comprimido de 10 mg al día, a la hora de acostarse. </w:t>
      </w:r>
      <w:r w:rsidRPr="00254E07">
        <w:rPr>
          <w:rFonts w:ascii="Helvetica Neue" w:hAnsi="Helvetica Neue" w:cs="Times New Roman"/>
          <w:i/>
          <w:iCs/>
          <w:color w:val="000000"/>
          <w:sz w:val="27"/>
          <w:szCs w:val="27"/>
        </w:rPr>
        <w:t>Niños de 6 a 14 años de edad: </w:t>
      </w:r>
      <w:r w:rsidRPr="00254E07">
        <w:rPr>
          <w:rFonts w:ascii="Helvetica Neue" w:hAnsi="Helvetica Neue" w:cs="Times New Roman"/>
          <w:color w:val="000000"/>
          <w:sz w:val="27"/>
          <w:szCs w:val="27"/>
        </w:rPr>
        <w:t>1 comprimido masticable de 5 mg al día, a la hora de acostarse. </w:t>
      </w:r>
      <w:r w:rsidRPr="00254E07">
        <w:rPr>
          <w:rFonts w:ascii="Helvetica Neue" w:hAnsi="Helvetica Neue" w:cs="Times New Roman"/>
          <w:i/>
          <w:iCs/>
          <w:color w:val="000000"/>
          <w:sz w:val="27"/>
          <w:szCs w:val="27"/>
        </w:rPr>
        <w:t>Niños de 2 a 5 años de edad: </w:t>
      </w:r>
      <w:r w:rsidRPr="00254E07">
        <w:rPr>
          <w:rFonts w:ascii="Helvetica Neue" w:hAnsi="Helvetica Neue" w:cs="Times New Roman"/>
          <w:color w:val="000000"/>
          <w:sz w:val="27"/>
          <w:szCs w:val="27"/>
        </w:rPr>
        <w:t>1 comprimido masticable de 4 mg al día, a la hora de acostarse. </w:t>
      </w:r>
      <w:r w:rsidRPr="00254E07">
        <w:rPr>
          <w:rFonts w:ascii="Helvetica Neue" w:hAnsi="Helvetica Neue" w:cs="Times New Roman"/>
          <w:i/>
          <w:iCs/>
          <w:color w:val="000000"/>
          <w:sz w:val="27"/>
          <w:szCs w:val="27"/>
        </w:rPr>
        <w:t>Recomendaciones generales:</w:t>
      </w:r>
      <w:r w:rsidRPr="00254E07">
        <w:rPr>
          <w:rFonts w:ascii="Helvetica Neue" w:hAnsi="Helvetica Neue" w:cs="Times New Roman"/>
          <w:color w:val="000000"/>
          <w:sz w:val="27"/>
          <w:szCs w:val="27"/>
        </w:rPr>
        <w:t>INSPIROL</w:t>
      </w:r>
      <w:r w:rsidRPr="00254E07">
        <w:rPr>
          <w:rFonts w:ascii="Helvetica Neue" w:hAnsi="Helvetica Neue" w:cs="Times New Roman"/>
          <w:color w:val="000000"/>
          <w:sz w:val="27"/>
          <w:szCs w:val="27"/>
          <w:vertAlign w:val="superscript"/>
        </w:rPr>
        <w:t>®</w:t>
      </w:r>
      <w:r w:rsidRPr="00254E07">
        <w:rPr>
          <w:rFonts w:ascii="Helvetica Neue" w:hAnsi="Helvetica Neue" w:cs="Times New Roman"/>
          <w:color w:val="000000"/>
          <w:sz w:val="27"/>
          <w:szCs w:val="27"/>
        </w:rPr>
        <w:t xml:space="preserve"> produce su efecto terapéutico sobre los parámetros de control del asma en el transcurso de </w:t>
      </w:r>
      <w:proofErr w:type="gramStart"/>
      <w:r w:rsidRPr="00254E07">
        <w:rPr>
          <w:rFonts w:ascii="Helvetica Neue" w:hAnsi="Helvetica Neue" w:cs="Times New Roman"/>
          <w:color w:val="000000"/>
          <w:sz w:val="27"/>
          <w:szCs w:val="27"/>
        </w:rPr>
        <w:t>un</w:t>
      </w:r>
      <w:proofErr w:type="gramEnd"/>
      <w:r w:rsidRPr="00254E07">
        <w:rPr>
          <w:rFonts w:ascii="Helvetica Neue" w:hAnsi="Helvetica Neue" w:cs="Times New Roman"/>
          <w:color w:val="000000"/>
          <w:sz w:val="27"/>
          <w:szCs w:val="27"/>
        </w:rPr>
        <w:t xml:space="preserve"> día. </w:t>
      </w:r>
      <w:proofErr w:type="gramStart"/>
      <w:r w:rsidRPr="00254E07">
        <w:rPr>
          <w:rFonts w:ascii="Helvetica Neue" w:hAnsi="Helvetica Neue" w:cs="Times New Roman"/>
          <w:color w:val="000000"/>
          <w:sz w:val="27"/>
          <w:szCs w:val="27"/>
        </w:rPr>
        <w:t>INSPIROL</w:t>
      </w:r>
      <w:r w:rsidRPr="00254E07">
        <w:rPr>
          <w:rFonts w:ascii="Helvetica Neue" w:hAnsi="Helvetica Neue" w:cs="Times New Roman"/>
          <w:color w:val="000000"/>
          <w:sz w:val="27"/>
          <w:szCs w:val="27"/>
          <w:vertAlign w:val="superscript"/>
        </w:rPr>
        <w:t>®</w:t>
      </w:r>
      <w:r w:rsidRPr="00254E07">
        <w:rPr>
          <w:rFonts w:ascii="Helvetica Neue" w:hAnsi="Helvetica Neue" w:cs="Times New Roman"/>
          <w:color w:val="000000"/>
          <w:sz w:val="27"/>
          <w:szCs w:val="27"/>
        </w:rPr>
        <w:t> se puede tomar con o sin alimentos.</w:t>
      </w:r>
      <w:proofErr w:type="gramEnd"/>
      <w:r w:rsidRPr="00254E07">
        <w:rPr>
          <w:rFonts w:ascii="Helvetica Neue" w:hAnsi="Helvetica Neue" w:cs="Times New Roman"/>
          <w:color w:val="000000"/>
          <w:sz w:val="27"/>
          <w:szCs w:val="27"/>
        </w:rPr>
        <w:t xml:space="preserve"> Se debe recomendar a los pacientes que continúen el tratamiento con INSPIROL</w:t>
      </w:r>
      <w:r w:rsidRPr="00254E07">
        <w:rPr>
          <w:rFonts w:ascii="Helvetica Neue" w:hAnsi="Helvetica Neue" w:cs="Times New Roman"/>
          <w:color w:val="000000"/>
          <w:sz w:val="27"/>
          <w:szCs w:val="27"/>
          <w:vertAlign w:val="superscript"/>
        </w:rPr>
        <w:t>®</w:t>
      </w:r>
      <w:r w:rsidRPr="00254E07">
        <w:rPr>
          <w:rFonts w:ascii="Helvetica Neue" w:hAnsi="Helvetica Neue" w:cs="Times New Roman"/>
          <w:color w:val="000000"/>
          <w:sz w:val="27"/>
          <w:szCs w:val="27"/>
        </w:rPr>
        <w:t xml:space="preserve"> tanto cuando su asma está controlada </w:t>
      </w:r>
      <w:proofErr w:type="gramStart"/>
      <w:r w:rsidRPr="00254E07">
        <w:rPr>
          <w:rFonts w:ascii="Helvetica Neue" w:hAnsi="Helvetica Neue" w:cs="Times New Roman"/>
          <w:color w:val="000000"/>
          <w:sz w:val="27"/>
          <w:szCs w:val="27"/>
        </w:rPr>
        <w:t>como</w:t>
      </w:r>
      <w:proofErr w:type="gramEnd"/>
      <w:r w:rsidRPr="00254E07">
        <w:rPr>
          <w:rFonts w:ascii="Helvetica Neue" w:hAnsi="Helvetica Neue" w:cs="Times New Roman"/>
          <w:color w:val="000000"/>
          <w:sz w:val="27"/>
          <w:szCs w:val="27"/>
        </w:rPr>
        <w:t xml:space="preserve"> durante los períodos de empeoramiento. No es necesario hacer ningún ajuste de la dosificación en niños, en los pacientes de edad avanzada, en pacientes con insuficiencia renal o con deterioro hepático leve a moderado, ni según el sexo del paciente. </w:t>
      </w:r>
      <w:r w:rsidRPr="00254E07">
        <w:rPr>
          <w:rFonts w:ascii="Helvetica Neue" w:hAnsi="Helvetica Neue" w:cs="Times New Roman"/>
          <w:i/>
          <w:iCs/>
          <w:color w:val="000000"/>
          <w:sz w:val="27"/>
          <w:szCs w:val="27"/>
        </w:rPr>
        <w:t>Tratamiento con </w:t>
      </w:r>
      <w:r w:rsidRPr="00254E07">
        <w:rPr>
          <w:rFonts w:ascii="Helvetica Neue" w:hAnsi="Helvetica Neue" w:cs="Times New Roman"/>
          <w:color w:val="000000"/>
          <w:sz w:val="27"/>
          <w:szCs w:val="27"/>
        </w:rPr>
        <w:t>INSPIROL</w:t>
      </w:r>
      <w:r w:rsidRPr="00254E07">
        <w:rPr>
          <w:rFonts w:ascii="Helvetica Neue" w:hAnsi="Helvetica Neue" w:cs="Times New Roman"/>
          <w:color w:val="000000"/>
          <w:sz w:val="27"/>
          <w:szCs w:val="27"/>
          <w:vertAlign w:val="superscript"/>
        </w:rPr>
        <w:t>®</w:t>
      </w:r>
      <w:r w:rsidRPr="00254E07">
        <w:rPr>
          <w:rFonts w:ascii="Helvetica Neue" w:hAnsi="Helvetica Neue" w:cs="Times New Roman"/>
          <w:color w:val="000000"/>
          <w:sz w:val="27"/>
          <w:szCs w:val="27"/>
        </w:rPr>
        <w:t> </w:t>
      </w:r>
      <w:r w:rsidRPr="00254E07">
        <w:rPr>
          <w:rFonts w:ascii="Helvetica Neue" w:hAnsi="Helvetica Neue" w:cs="Times New Roman"/>
          <w:i/>
          <w:iCs/>
          <w:color w:val="000000"/>
          <w:sz w:val="27"/>
          <w:szCs w:val="27"/>
        </w:rPr>
        <w:t>en relación a otros tratamientos para el asma</w:t>
      </w:r>
      <w:r w:rsidRPr="00254E07">
        <w:rPr>
          <w:rFonts w:ascii="Helvetica Neue" w:hAnsi="Helvetica Neue" w:cs="Times New Roman"/>
          <w:color w:val="000000"/>
          <w:sz w:val="27"/>
          <w:szCs w:val="27"/>
        </w:rPr>
        <w:t>: se puede agregar INSPIROL</w:t>
      </w:r>
      <w:r w:rsidRPr="00254E07">
        <w:rPr>
          <w:rFonts w:ascii="Helvetica Neue" w:hAnsi="Helvetica Neue" w:cs="Times New Roman"/>
          <w:color w:val="000000"/>
          <w:sz w:val="27"/>
          <w:szCs w:val="27"/>
          <w:vertAlign w:val="superscript"/>
        </w:rPr>
        <w:t>®</w:t>
      </w:r>
      <w:r w:rsidRPr="00254E07">
        <w:rPr>
          <w:rFonts w:ascii="Helvetica Neue" w:hAnsi="Helvetica Neue" w:cs="Times New Roman"/>
          <w:color w:val="000000"/>
          <w:sz w:val="27"/>
          <w:szCs w:val="27"/>
        </w:rPr>
        <w:t xml:space="preserve"> al tratamiento antiasmático en curso de un </w:t>
      </w:r>
      <w:proofErr w:type="gramStart"/>
      <w:r w:rsidRPr="00254E07">
        <w:rPr>
          <w:rFonts w:ascii="Helvetica Neue" w:hAnsi="Helvetica Neue" w:cs="Times New Roman"/>
          <w:color w:val="000000"/>
          <w:sz w:val="27"/>
          <w:szCs w:val="27"/>
        </w:rPr>
        <w:t>paciente.</w:t>
      </w:r>
      <w:r w:rsidRPr="00254E07">
        <w:rPr>
          <w:rFonts w:ascii="Helvetica Neue" w:hAnsi="Helvetica Neue" w:cs="Times New Roman"/>
          <w:i/>
          <w:iCs/>
          <w:color w:val="000000"/>
          <w:sz w:val="27"/>
          <w:szCs w:val="27"/>
        </w:rPr>
        <w:t>Reducción</w:t>
      </w:r>
      <w:proofErr w:type="gramEnd"/>
      <w:r w:rsidRPr="00254E07">
        <w:rPr>
          <w:rFonts w:ascii="Helvetica Neue" w:hAnsi="Helvetica Neue" w:cs="Times New Roman"/>
          <w:i/>
          <w:iCs/>
          <w:color w:val="000000"/>
          <w:sz w:val="27"/>
          <w:szCs w:val="27"/>
        </w:rPr>
        <w:t xml:space="preserve"> del tratamiento concomitante: </w:t>
      </w:r>
      <w:r w:rsidRPr="00254E07">
        <w:rPr>
          <w:rFonts w:ascii="Helvetica Neue" w:hAnsi="Helvetica Neue" w:cs="Times New Roman"/>
          <w:color w:val="000000"/>
          <w:sz w:val="27"/>
          <w:szCs w:val="27"/>
        </w:rPr>
        <w:t>tratamientos broncodilatadores: se puede agregar INSPIROL</w:t>
      </w:r>
      <w:r w:rsidRPr="00254E07">
        <w:rPr>
          <w:rFonts w:ascii="Helvetica Neue" w:hAnsi="Helvetica Neue" w:cs="Times New Roman"/>
          <w:color w:val="000000"/>
          <w:sz w:val="27"/>
          <w:szCs w:val="27"/>
          <w:vertAlign w:val="superscript"/>
        </w:rPr>
        <w:t>®</w:t>
      </w:r>
      <w:r w:rsidRPr="00254E07">
        <w:rPr>
          <w:rFonts w:ascii="Helvetica Neue" w:hAnsi="Helvetica Neue" w:cs="Times New Roman"/>
          <w:color w:val="000000"/>
          <w:sz w:val="27"/>
          <w:szCs w:val="27"/>
        </w:rPr>
        <w:t xml:space="preserve"> al tratamiento de los pacientes en los que un broncodilatador solo no controla suficientemente el asma. Cuando se aprecia una respuesta clínica (usualmente después de la primera dosis) se puede disminuir el tratamiento broncodilatador de acuerdo con la tolerabilidad del </w:t>
      </w:r>
      <w:proofErr w:type="gramStart"/>
      <w:r w:rsidRPr="00254E07">
        <w:rPr>
          <w:rFonts w:ascii="Helvetica Neue" w:hAnsi="Helvetica Neue" w:cs="Times New Roman"/>
          <w:color w:val="000000"/>
          <w:sz w:val="27"/>
          <w:szCs w:val="27"/>
        </w:rPr>
        <w:t>paciente.</w:t>
      </w:r>
      <w:r w:rsidRPr="00254E07">
        <w:rPr>
          <w:rFonts w:ascii="Helvetica Neue" w:hAnsi="Helvetica Neue" w:cs="Times New Roman"/>
          <w:i/>
          <w:iCs/>
          <w:color w:val="000000"/>
          <w:sz w:val="27"/>
          <w:szCs w:val="27"/>
        </w:rPr>
        <w:t>Corticosteroides</w:t>
      </w:r>
      <w:proofErr w:type="gramEnd"/>
      <w:r w:rsidRPr="00254E07">
        <w:rPr>
          <w:rFonts w:ascii="Helvetica Neue" w:hAnsi="Helvetica Neue" w:cs="Times New Roman"/>
          <w:i/>
          <w:iCs/>
          <w:color w:val="000000"/>
          <w:sz w:val="27"/>
          <w:szCs w:val="27"/>
        </w:rPr>
        <w:t xml:space="preserve"> inhalatorios</w:t>
      </w:r>
      <w:r w:rsidRPr="00254E07">
        <w:rPr>
          <w:rFonts w:ascii="Helvetica Neue" w:hAnsi="Helvetica Neue" w:cs="Times New Roman"/>
          <w:color w:val="000000"/>
          <w:sz w:val="27"/>
          <w:szCs w:val="27"/>
        </w:rPr>
        <w:t>: el tratamiento con INSPIROL</w:t>
      </w:r>
      <w:r w:rsidRPr="00254E07">
        <w:rPr>
          <w:rFonts w:ascii="Helvetica Neue" w:hAnsi="Helvetica Neue" w:cs="Times New Roman"/>
          <w:color w:val="000000"/>
          <w:sz w:val="27"/>
          <w:szCs w:val="27"/>
          <w:vertAlign w:val="superscript"/>
        </w:rPr>
        <w:t>®</w:t>
      </w:r>
      <w:r w:rsidRPr="00254E07">
        <w:rPr>
          <w:rFonts w:ascii="Helvetica Neue" w:hAnsi="Helvetica Neue" w:cs="Times New Roman"/>
          <w:color w:val="000000"/>
          <w:sz w:val="27"/>
          <w:szCs w:val="27"/>
        </w:rPr>
        <w:t xml:space="preserve"> proporciona un beneficio clínico adicional a los pacientes tratados con corticosteroides inhalatorios. </w:t>
      </w:r>
      <w:proofErr w:type="gramStart"/>
      <w:r w:rsidRPr="00254E07">
        <w:rPr>
          <w:rFonts w:ascii="Helvetica Neue" w:hAnsi="Helvetica Neue" w:cs="Times New Roman"/>
          <w:color w:val="000000"/>
          <w:sz w:val="27"/>
          <w:szCs w:val="27"/>
        </w:rPr>
        <w:t>Se puede disminuir la dosis del corticosteroide de acuerdo con la tolerabilidad del paciente.</w:t>
      </w:r>
      <w:proofErr w:type="gramEnd"/>
      <w:r w:rsidRPr="00254E07">
        <w:rPr>
          <w:rFonts w:ascii="Helvetica Neue" w:hAnsi="Helvetica Neue" w:cs="Times New Roman"/>
          <w:color w:val="000000"/>
          <w:sz w:val="27"/>
          <w:szCs w:val="27"/>
        </w:rPr>
        <w:t xml:space="preserve"> </w:t>
      </w:r>
      <w:proofErr w:type="gramStart"/>
      <w:r w:rsidRPr="00254E07">
        <w:rPr>
          <w:rFonts w:ascii="Helvetica Neue" w:hAnsi="Helvetica Neue" w:cs="Times New Roman"/>
          <w:color w:val="000000"/>
          <w:sz w:val="27"/>
          <w:szCs w:val="27"/>
        </w:rPr>
        <w:t>Esa disminución de la dosis se debe hacer gradualmente y bajo supervisión médica.</w:t>
      </w:r>
      <w:proofErr w:type="gramEnd"/>
      <w:r w:rsidRPr="00254E07">
        <w:rPr>
          <w:rFonts w:ascii="Helvetica Neue" w:hAnsi="Helvetica Neue" w:cs="Times New Roman"/>
          <w:color w:val="000000"/>
          <w:sz w:val="27"/>
          <w:szCs w:val="27"/>
        </w:rPr>
        <w:t xml:space="preserve"> </w:t>
      </w:r>
      <w:proofErr w:type="gramStart"/>
      <w:r w:rsidRPr="00254E07">
        <w:rPr>
          <w:rFonts w:ascii="Helvetica Neue" w:hAnsi="Helvetica Neue" w:cs="Times New Roman"/>
          <w:color w:val="000000"/>
          <w:sz w:val="27"/>
          <w:szCs w:val="27"/>
        </w:rPr>
        <w:t>En algunos casos es posible ir disminuyendo la dosis del corticosteroide inhalatorio hasta suspenderlo por completo.</w:t>
      </w:r>
      <w:proofErr w:type="gramEnd"/>
      <w:r w:rsidRPr="00254E07">
        <w:rPr>
          <w:rFonts w:ascii="Helvetica Neue" w:hAnsi="Helvetica Neue" w:cs="Times New Roman"/>
          <w:color w:val="000000"/>
          <w:sz w:val="27"/>
          <w:szCs w:val="27"/>
        </w:rPr>
        <w:t xml:space="preserve"> No se deben sustituir bruscamente los corticosteroides inhalatorios con INSPIROL</w:t>
      </w:r>
      <w:r w:rsidRPr="00254E07">
        <w:rPr>
          <w:rFonts w:ascii="Helvetica Neue" w:hAnsi="Helvetica Neue" w:cs="Times New Roman"/>
          <w:color w:val="000000"/>
          <w:sz w:val="27"/>
          <w:szCs w:val="27"/>
          <w:vertAlign w:val="superscript"/>
        </w:rPr>
        <w:t>®</w:t>
      </w:r>
      <w:r w:rsidRPr="00254E07">
        <w:rPr>
          <w:rFonts w:ascii="Helvetica Neue" w:hAnsi="Helvetica Neue" w:cs="Times New Roman"/>
          <w:color w:val="000000"/>
          <w:sz w:val="27"/>
          <w:szCs w:val="27"/>
        </w:rPr>
        <w:t>.</w:t>
      </w:r>
    </w:p>
    <w:p w:rsidR="00254E07" w:rsidRPr="00254E07" w:rsidRDefault="00254E07" w:rsidP="00254E07">
      <w:pPr>
        <w:spacing w:before="100" w:beforeAutospacing="1" w:after="100" w:afterAutospacing="1"/>
        <w:outlineLvl w:val="3"/>
        <w:rPr>
          <w:rFonts w:ascii="Helvetica Neue" w:eastAsia="Times New Roman" w:hAnsi="Helvetica Neue" w:cs="Times New Roman"/>
          <w:b/>
          <w:bCs/>
          <w:color w:val="000000"/>
          <w:sz w:val="27"/>
          <w:szCs w:val="27"/>
        </w:rPr>
      </w:pPr>
      <w:r w:rsidRPr="00254E07">
        <w:rPr>
          <w:rFonts w:ascii="Helvetica Neue" w:eastAsia="Times New Roman" w:hAnsi="Helvetica Neue" w:cs="Times New Roman"/>
          <w:b/>
          <w:bCs/>
          <w:color w:val="000000"/>
          <w:sz w:val="27"/>
          <w:szCs w:val="27"/>
        </w:rPr>
        <w:t>Contraindicaciones.</w:t>
      </w:r>
    </w:p>
    <w:p w:rsidR="00254E07" w:rsidRPr="00254E07" w:rsidRDefault="00254E07" w:rsidP="00254E07">
      <w:pPr>
        <w:spacing w:before="100" w:beforeAutospacing="1" w:after="100" w:afterAutospacing="1" w:line="360" w:lineRule="atLeast"/>
        <w:jc w:val="both"/>
        <w:rPr>
          <w:rFonts w:ascii="Helvetica Neue" w:hAnsi="Helvetica Neue" w:cs="Times New Roman"/>
          <w:color w:val="000000"/>
          <w:sz w:val="27"/>
          <w:szCs w:val="27"/>
        </w:rPr>
      </w:pPr>
      <w:proofErr w:type="gramStart"/>
      <w:r w:rsidRPr="00254E07">
        <w:rPr>
          <w:rFonts w:ascii="Helvetica Neue" w:hAnsi="Helvetica Neue" w:cs="Times New Roman"/>
          <w:color w:val="000000"/>
          <w:sz w:val="27"/>
          <w:szCs w:val="27"/>
        </w:rPr>
        <w:t>Hipersensibilidad a cualquiera de los componentes del producto.</w:t>
      </w:r>
      <w:proofErr w:type="gramEnd"/>
    </w:p>
    <w:p w:rsidR="00254E07" w:rsidRPr="00254E07" w:rsidRDefault="00254E07" w:rsidP="00254E07">
      <w:pPr>
        <w:spacing w:before="100" w:beforeAutospacing="1" w:after="100" w:afterAutospacing="1"/>
        <w:outlineLvl w:val="3"/>
        <w:rPr>
          <w:rFonts w:ascii="Helvetica Neue" w:eastAsia="Times New Roman" w:hAnsi="Helvetica Neue" w:cs="Times New Roman"/>
          <w:b/>
          <w:bCs/>
          <w:color w:val="000000"/>
          <w:sz w:val="27"/>
          <w:szCs w:val="27"/>
        </w:rPr>
      </w:pPr>
      <w:r w:rsidRPr="00254E07">
        <w:rPr>
          <w:rFonts w:ascii="Helvetica Neue" w:eastAsia="Times New Roman" w:hAnsi="Helvetica Neue" w:cs="Times New Roman"/>
          <w:b/>
          <w:bCs/>
          <w:color w:val="000000"/>
          <w:sz w:val="27"/>
          <w:szCs w:val="27"/>
        </w:rPr>
        <w:t>Reacciones adversas.</w:t>
      </w:r>
    </w:p>
    <w:p w:rsidR="00254E07" w:rsidRPr="00254E07" w:rsidRDefault="00254E07" w:rsidP="00254E07">
      <w:pPr>
        <w:spacing w:before="100" w:beforeAutospacing="1" w:after="100" w:afterAutospacing="1" w:line="360" w:lineRule="atLeast"/>
        <w:jc w:val="both"/>
        <w:rPr>
          <w:rFonts w:ascii="Helvetica Neue" w:hAnsi="Helvetica Neue" w:cs="Times New Roman"/>
          <w:color w:val="000000"/>
          <w:sz w:val="27"/>
          <w:szCs w:val="27"/>
        </w:rPr>
      </w:pPr>
      <w:proofErr w:type="gramStart"/>
      <w:r w:rsidRPr="00254E07">
        <w:rPr>
          <w:rFonts w:ascii="Helvetica Neue" w:hAnsi="Helvetica Neue" w:cs="Times New Roman"/>
          <w:color w:val="000000"/>
          <w:sz w:val="27"/>
          <w:szCs w:val="27"/>
        </w:rPr>
        <w:t>El montelukast es generalmente bien tolerado.</w:t>
      </w:r>
      <w:proofErr w:type="gramEnd"/>
      <w:r w:rsidRPr="00254E07">
        <w:rPr>
          <w:rFonts w:ascii="Helvetica Neue" w:hAnsi="Helvetica Neue" w:cs="Times New Roman"/>
          <w:color w:val="000000"/>
          <w:sz w:val="27"/>
          <w:szCs w:val="27"/>
        </w:rPr>
        <w:t xml:space="preserve"> </w:t>
      </w:r>
      <w:proofErr w:type="gramStart"/>
      <w:r w:rsidRPr="00254E07">
        <w:rPr>
          <w:rFonts w:ascii="Helvetica Neue" w:hAnsi="Helvetica Neue" w:cs="Times New Roman"/>
          <w:color w:val="000000"/>
          <w:sz w:val="27"/>
          <w:szCs w:val="27"/>
        </w:rPr>
        <w:t>En general, las reacciones adversas, que usualmente son leves, no hacen necesario suspender el tratamiento.</w:t>
      </w:r>
      <w:proofErr w:type="gramEnd"/>
      <w:r w:rsidRPr="00254E07">
        <w:rPr>
          <w:rFonts w:ascii="Helvetica Neue" w:hAnsi="Helvetica Neue" w:cs="Times New Roman"/>
          <w:color w:val="000000"/>
          <w:sz w:val="27"/>
          <w:szCs w:val="27"/>
        </w:rPr>
        <w:t xml:space="preserve"> La incidencia total de reacciones adversas reportadas con el montelukast fue similar a la observada con placebo. </w:t>
      </w:r>
      <w:r w:rsidRPr="00254E07">
        <w:rPr>
          <w:rFonts w:ascii="Helvetica Neue" w:hAnsi="Helvetica Neue" w:cs="Times New Roman"/>
          <w:i/>
          <w:iCs/>
          <w:color w:val="000000"/>
          <w:sz w:val="27"/>
          <w:szCs w:val="27"/>
        </w:rPr>
        <w:t>Adultos de 15 años de edad o mayores</w:t>
      </w:r>
      <w:r w:rsidRPr="00254E07">
        <w:rPr>
          <w:rFonts w:ascii="Helvetica Neue" w:hAnsi="Helvetica Neue" w:cs="Times New Roman"/>
          <w:color w:val="000000"/>
          <w:sz w:val="27"/>
          <w:szCs w:val="27"/>
        </w:rPr>
        <w:t xml:space="preserve">: en los estudios clínicos, el montelukast ha sido evaluado en aproximadamente 2.600 pacientes adultos de 15 años de edad o mayores. En dos estudios clínicos de similar diseño, de 12 semanas de duración y controlados con placebo, solamente se informaron como efectos relacionados con el medicamento en 1% o más de los pacientes tratados con montelukast y con una incidencia mayor que con placebo: dolor abdominal y cefalea. La diferencia entre las incidencias de esos efectos en los dos grupos de tratamiento no fue estadísticamente significativa. En conjunto, en los estudios clínicos fueron tratados con montelukast 544 pacientes </w:t>
      </w:r>
      <w:proofErr w:type="gramStart"/>
      <w:r w:rsidRPr="00254E07">
        <w:rPr>
          <w:rFonts w:ascii="Helvetica Neue" w:hAnsi="Helvetica Neue" w:cs="Times New Roman"/>
          <w:color w:val="000000"/>
          <w:sz w:val="27"/>
          <w:szCs w:val="27"/>
        </w:rPr>
        <w:t>durante</w:t>
      </w:r>
      <w:proofErr w:type="gramEnd"/>
      <w:r w:rsidRPr="00254E07">
        <w:rPr>
          <w:rFonts w:ascii="Helvetica Neue" w:hAnsi="Helvetica Neue" w:cs="Times New Roman"/>
          <w:color w:val="000000"/>
          <w:sz w:val="27"/>
          <w:szCs w:val="27"/>
        </w:rPr>
        <w:t xml:space="preserve"> seis meses por lo menos, 253 durante un año, y 21 durante dos años. </w:t>
      </w:r>
      <w:proofErr w:type="gramStart"/>
      <w:r w:rsidRPr="00254E07">
        <w:rPr>
          <w:rFonts w:ascii="Helvetica Neue" w:hAnsi="Helvetica Neue" w:cs="Times New Roman"/>
          <w:color w:val="000000"/>
          <w:sz w:val="27"/>
          <w:szCs w:val="27"/>
        </w:rPr>
        <w:t>Durante el tratamiento prolongado no cambió el perfil de reacciones adversas.</w:t>
      </w:r>
      <w:proofErr w:type="gramEnd"/>
      <w:r w:rsidRPr="00254E07">
        <w:rPr>
          <w:rFonts w:ascii="Helvetica Neue" w:hAnsi="Helvetica Neue" w:cs="Times New Roman"/>
          <w:color w:val="000000"/>
          <w:sz w:val="27"/>
          <w:szCs w:val="27"/>
        </w:rPr>
        <w:t> </w:t>
      </w:r>
      <w:r w:rsidRPr="00254E07">
        <w:rPr>
          <w:rFonts w:ascii="Helvetica Neue" w:hAnsi="Helvetica Neue" w:cs="Times New Roman"/>
          <w:i/>
          <w:iCs/>
          <w:color w:val="000000"/>
          <w:sz w:val="27"/>
          <w:szCs w:val="27"/>
        </w:rPr>
        <w:t>Niños de 6 a 14 años de edad: </w:t>
      </w:r>
      <w:r w:rsidRPr="00254E07">
        <w:rPr>
          <w:rFonts w:ascii="Helvetica Neue" w:hAnsi="Helvetica Neue" w:cs="Times New Roman"/>
          <w:color w:val="000000"/>
          <w:sz w:val="27"/>
          <w:szCs w:val="27"/>
        </w:rPr>
        <w:t xml:space="preserve">se ha evaluado montelukast en aproximadamente 320 pacientes pediátricos de 6 a 14 años de edad. </w:t>
      </w:r>
      <w:proofErr w:type="gramStart"/>
      <w:r w:rsidRPr="00254E07">
        <w:rPr>
          <w:rFonts w:ascii="Helvetica Neue" w:hAnsi="Helvetica Neue" w:cs="Times New Roman"/>
          <w:color w:val="000000"/>
          <w:sz w:val="27"/>
          <w:szCs w:val="27"/>
        </w:rPr>
        <w:t>El perfil de seguridad en pacientes pediátricos es generalmente similar al de los adultos y al de placebo.</w:t>
      </w:r>
      <w:proofErr w:type="gramEnd"/>
      <w:r w:rsidRPr="00254E07">
        <w:rPr>
          <w:rFonts w:ascii="Helvetica Neue" w:hAnsi="Helvetica Neue" w:cs="Times New Roman"/>
          <w:color w:val="000000"/>
          <w:sz w:val="27"/>
          <w:szCs w:val="27"/>
        </w:rPr>
        <w:t xml:space="preserve"> En un estudio clínico de ocho semanas controlado con placebo, sólo se reportó como reacción adversa relacionada con la droga en más del 1% de los pacientes tratados con montelukast y con una incidencia mayor que con placebo: cefalea. La incidencia de cefalea en los dos grupos de tratamiento no fue estadísticamente significativa. En conjunto, fueron tratados con montelukast 143 niños de 6 a 14 años de edad </w:t>
      </w:r>
      <w:proofErr w:type="gramStart"/>
      <w:r w:rsidRPr="00254E07">
        <w:rPr>
          <w:rFonts w:ascii="Helvetica Neue" w:hAnsi="Helvetica Neue" w:cs="Times New Roman"/>
          <w:color w:val="000000"/>
          <w:sz w:val="27"/>
          <w:szCs w:val="27"/>
        </w:rPr>
        <w:t>durante</w:t>
      </w:r>
      <w:proofErr w:type="gramEnd"/>
      <w:r w:rsidRPr="00254E07">
        <w:rPr>
          <w:rFonts w:ascii="Helvetica Neue" w:hAnsi="Helvetica Neue" w:cs="Times New Roman"/>
          <w:color w:val="000000"/>
          <w:sz w:val="27"/>
          <w:szCs w:val="27"/>
        </w:rPr>
        <w:t xml:space="preserve"> tres meses por lo menos, y 44 durante seis meses o más. </w:t>
      </w:r>
      <w:proofErr w:type="gramStart"/>
      <w:r w:rsidRPr="00254E07">
        <w:rPr>
          <w:rFonts w:ascii="Helvetica Neue" w:hAnsi="Helvetica Neue" w:cs="Times New Roman"/>
          <w:color w:val="000000"/>
          <w:sz w:val="27"/>
          <w:szCs w:val="27"/>
        </w:rPr>
        <w:t>Durante el tratamiento prolongado, no cambió el perfil de reacciones adversas.</w:t>
      </w:r>
      <w:proofErr w:type="gramEnd"/>
      <w:r w:rsidRPr="00254E07">
        <w:rPr>
          <w:rFonts w:ascii="Helvetica Neue" w:hAnsi="Helvetica Neue" w:cs="Times New Roman"/>
          <w:color w:val="000000"/>
          <w:sz w:val="27"/>
          <w:szCs w:val="27"/>
        </w:rPr>
        <w:t> </w:t>
      </w:r>
      <w:r w:rsidRPr="00254E07">
        <w:rPr>
          <w:rFonts w:ascii="Helvetica Neue" w:hAnsi="Helvetica Neue" w:cs="Times New Roman"/>
          <w:i/>
          <w:iCs/>
          <w:color w:val="000000"/>
          <w:sz w:val="27"/>
          <w:szCs w:val="27"/>
        </w:rPr>
        <w:t>Niños de 2 a 5 años de edad: </w:t>
      </w:r>
      <w:r w:rsidRPr="00254E07">
        <w:rPr>
          <w:rFonts w:ascii="Helvetica Neue" w:hAnsi="Helvetica Neue" w:cs="Times New Roman"/>
          <w:color w:val="000000"/>
          <w:sz w:val="27"/>
          <w:szCs w:val="27"/>
        </w:rPr>
        <w:t xml:space="preserve">se ha evaluado montelukast en 573 pacientes pediátricos de 2 a 5 años de edad. En un estudio clínico de doce semanas, controlado con placebo, la única reacción adversa que se reportó como relacionada con la droga en más del 1% de los pacientes tratados con montelukast y con incidencia mayor que con placebo, fue sed. La incidencia de sed en los dos grupos de tratamiento no fue significativamente diferente. En conjunto, fueron tratados con montelukast 426 pacientes pediátricos de 2 a 5 años de edad, </w:t>
      </w:r>
      <w:proofErr w:type="gramStart"/>
      <w:r w:rsidRPr="00254E07">
        <w:rPr>
          <w:rFonts w:ascii="Helvetica Neue" w:hAnsi="Helvetica Neue" w:cs="Times New Roman"/>
          <w:color w:val="000000"/>
          <w:sz w:val="27"/>
          <w:szCs w:val="27"/>
        </w:rPr>
        <w:t>durante</w:t>
      </w:r>
      <w:proofErr w:type="gramEnd"/>
      <w:r w:rsidRPr="00254E07">
        <w:rPr>
          <w:rFonts w:ascii="Helvetica Neue" w:hAnsi="Helvetica Neue" w:cs="Times New Roman"/>
          <w:color w:val="000000"/>
          <w:sz w:val="27"/>
          <w:szCs w:val="27"/>
        </w:rPr>
        <w:t xml:space="preserve"> tres meses por lo menos, 230 durante seis meses o más, y 63 pacientes durante doce meses o más. Durante el tratamiento prolongado, no cambió el perfil de reacciones </w:t>
      </w:r>
      <w:proofErr w:type="gramStart"/>
      <w:r w:rsidRPr="00254E07">
        <w:rPr>
          <w:rFonts w:ascii="Helvetica Neue" w:hAnsi="Helvetica Neue" w:cs="Times New Roman"/>
          <w:color w:val="000000"/>
          <w:sz w:val="27"/>
          <w:szCs w:val="27"/>
        </w:rPr>
        <w:t>adversas.</w:t>
      </w:r>
      <w:r w:rsidRPr="00254E07">
        <w:rPr>
          <w:rFonts w:ascii="Helvetica Neue" w:hAnsi="Helvetica Neue" w:cs="Times New Roman"/>
          <w:i/>
          <w:iCs/>
          <w:color w:val="000000"/>
          <w:sz w:val="27"/>
          <w:szCs w:val="27"/>
        </w:rPr>
        <w:t>Experiencia</w:t>
      </w:r>
      <w:proofErr w:type="gramEnd"/>
      <w:r w:rsidRPr="00254E07">
        <w:rPr>
          <w:rFonts w:ascii="Helvetica Neue" w:hAnsi="Helvetica Neue" w:cs="Times New Roman"/>
          <w:i/>
          <w:iCs/>
          <w:color w:val="000000"/>
          <w:sz w:val="27"/>
          <w:szCs w:val="27"/>
        </w:rPr>
        <w:t xml:space="preserve"> poscomercialización</w:t>
      </w:r>
      <w:r w:rsidRPr="00254E07">
        <w:rPr>
          <w:rFonts w:ascii="Helvetica Neue" w:hAnsi="Helvetica Neue" w:cs="Times New Roman"/>
          <w:color w:val="000000"/>
          <w:sz w:val="27"/>
          <w:szCs w:val="27"/>
        </w:rPr>
        <w:t>: se han reportado las siguientes reacciones adversas a partir de la comercialización: reacciones de hipersensibilidad (incluyendo anafilaxia, angioedema, prurito, erupción cutánea, urticaria y, muy raramente, infiltración hepática eosinofílica), trastornos del sueño, mareos, irritabilidad, inquietud, insomnio, náuseas, vómitos, dispepsia y diarrea.</w:t>
      </w:r>
    </w:p>
    <w:p w:rsidR="00254E07" w:rsidRPr="00254E07" w:rsidRDefault="00254E07" w:rsidP="00254E07">
      <w:pPr>
        <w:spacing w:before="100" w:beforeAutospacing="1" w:after="100" w:afterAutospacing="1"/>
        <w:outlineLvl w:val="3"/>
        <w:rPr>
          <w:rFonts w:ascii="Helvetica Neue" w:eastAsia="Times New Roman" w:hAnsi="Helvetica Neue" w:cs="Times New Roman"/>
          <w:b/>
          <w:bCs/>
          <w:color w:val="000000"/>
          <w:sz w:val="27"/>
          <w:szCs w:val="27"/>
        </w:rPr>
      </w:pPr>
      <w:r w:rsidRPr="00254E07">
        <w:rPr>
          <w:rFonts w:ascii="Helvetica Neue" w:eastAsia="Times New Roman" w:hAnsi="Helvetica Neue" w:cs="Times New Roman"/>
          <w:b/>
          <w:bCs/>
          <w:color w:val="000000"/>
          <w:sz w:val="27"/>
          <w:szCs w:val="27"/>
        </w:rPr>
        <w:t>Precauciones.</w:t>
      </w:r>
    </w:p>
    <w:p w:rsidR="00254E07" w:rsidRPr="00254E07" w:rsidRDefault="00254E07" w:rsidP="00254E07">
      <w:pPr>
        <w:spacing w:before="100" w:beforeAutospacing="1" w:after="100" w:afterAutospacing="1" w:line="360" w:lineRule="atLeast"/>
        <w:jc w:val="both"/>
        <w:rPr>
          <w:rFonts w:ascii="Helvetica Neue" w:hAnsi="Helvetica Neue" w:cs="Times New Roman"/>
          <w:color w:val="000000"/>
          <w:sz w:val="27"/>
          <w:szCs w:val="27"/>
        </w:rPr>
      </w:pPr>
      <w:r w:rsidRPr="00254E07">
        <w:rPr>
          <w:rFonts w:ascii="Helvetica Neue" w:hAnsi="Helvetica Neue" w:cs="Times New Roman"/>
          <w:color w:val="000000"/>
          <w:sz w:val="27"/>
          <w:szCs w:val="27"/>
        </w:rPr>
        <w:t xml:space="preserve">No se ha determinado la eficacia de montelukast por vía oral en el tratamiento de los ataques asmáticos agudos, por lo que los comprimidos de montelukast no se deben </w:t>
      </w:r>
      <w:proofErr w:type="gramStart"/>
      <w:r w:rsidRPr="00254E07">
        <w:rPr>
          <w:rFonts w:ascii="Helvetica Neue" w:hAnsi="Helvetica Neue" w:cs="Times New Roman"/>
          <w:color w:val="000000"/>
          <w:sz w:val="27"/>
          <w:szCs w:val="27"/>
        </w:rPr>
        <w:t>usar</w:t>
      </w:r>
      <w:proofErr w:type="gramEnd"/>
      <w:r w:rsidRPr="00254E07">
        <w:rPr>
          <w:rFonts w:ascii="Helvetica Neue" w:hAnsi="Helvetica Neue" w:cs="Times New Roman"/>
          <w:color w:val="000000"/>
          <w:sz w:val="27"/>
          <w:szCs w:val="27"/>
        </w:rPr>
        <w:t xml:space="preserve"> para tratar dichos ataques. </w:t>
      </w:r>
      <w:proofErr w:type="gramStart"/>
      <w:r w:rsidRPr="00254E07">
        <w:rPr>
          <w:rFonts w:ascii="Helvetica Neue" w:hAnsi="Helvetica Neue" w:cs="Times New Roman"/>
          <w:color w:val="000000"/>
          <w:sz w:val="27"/>
          <w:szCs w:val="27"/>
        </w:rPr>
        <w:t>Se debe aconsejar a los pacientes que tengan siempre disponible la medicación de urgencia apropiada.</w:t>
      </w:r>
      <w:proofErr w:type="gramEnd"/>
      <w:r w:rsidRPr="00254E07">
        <w:rPr>
          <w:rFonts w:ascii="Helvetica Neue" w:hAnsi="Helvetica Neue" w:cs="Times New Roman"/>
          <w:color w:val="000000"/>
          <w:sz w:val="27"/>
          <w:szCs w:val="27"/>
        </w:rPr>
        <w:t xml:space="preserve"> Aunque la dosis del corticosteroide inhalatorio concomitante se puede disminuir gradualmente bajo supervisión médica, no se deben sustituir bruscamente con montelukast los corticosteroides inhalatorios o por vía oral. Ocasionalmente, la reducción de la dosis de corticosteroides por vía sistémica en pacientes en tratamiento con agentes antiasmáticos, incluyendo antagonistas de los receptores de leucotrienos, ha estado seguida por la ocurrencia de uno o más de los siguientes efectos: eosinofilia, vasculitis cutánea, empeoramiento de los síntomas pulmonares, complicaciones cardíacas y/o neuropatía diagnosticada en algunas ocasiones como síndrome de Churg- Strauss, una vasculitis eosinofílica sistémica. Aunque no se ha establecido una relación causal con el antagonismo de los receptores de leucotrienos, se recomienda tener precaución y efectuar un control clínico apropiado cuando se considera la reducción de la dosis de corticosteroides sistémicos en pacientes que estén recibiendo </w:t>
      </w:r>
      <w:proofErr w:type="gramStart"/>
      <w:r w:rsidRPr="00254E07">
        <w:rPr>
          <w:rFonts w:ascii="Helvetica Neue" w:hAnsi="Helvetica Neue" w:cs="Times New Roman"/>
          <w:color w:val="000000"/>
          <w:sz w:val="27"/>
          <w:szCs w:val="27"/>
        </w:rPr>
        <w:t>montelukast.</w:t>
      </w:r>
      <w:r w:rsidRPr="00254E07">
        <w:rPr>
          <w:rFonts w:ascii="Helvetica Neue" w:hAnsi="Helvetica Neue" w:cs="Times New Roman"/>
          <w:i/>
          <w:iCs/>
          <w:color w:val="000000"/>
          <w:sz w:val="27"/>
          <w:szCs w:val="27"/>
        </w:rPr>
        <w:t>Embarazo</w:t>
      </w:r>
      <w:proofErr w:type="gramEnd"/>
      <w:r w:rsidRPr="00254E07">
        <w:rPr>
          <w:rFonts w:ascii="Helvetica Neue" w:hAnsi="Helvetica Neue" w:cs="Times New Roman"/>
          <w:color w:val="000000"/>
          <w:sz w:val="27"/>
          <w:szCs w:val="27"/>
        </w:rPr>
        <w:t xml:space="preserve">: El montelukast no ha sido estudiado en mujeres embarazadas. El montelukast no se debe </w:t>
      </w:r>
      <w:proofErr w:type="gramStart"/>
      <w:r w:rsidRPr="00254E07">
        <w:rPr>
          <w:rFonts w:ascii="Helvetica Neue" w:hAnsi="Helvetica Neue" w:cs="Times New Roman"/>
          <w:color w:val="000000"/>
          <w:sz w:val="27"/>
          <w:szCs w:val="27"/>
        </w:rPr>
        <w:t>usar</w:t>
      </w:r>
      <w:proofErr w:type="gramEnd"/>
      <w:r w:rsidRPr="00254E07">
        <w:rPr>
          <w:rFonts w:ascii="Helvetica Neue" w:hAnsi="Helvetica Neue" w:cs="Times New Roman"/>
          <w:color w:val="000000"/>
          <w:sz w:val="27"/>
          <w:szCs w:val="27"/>
        </w:rPr>
        <w:t xml:space="preserve"> durante el embarazo si no es absolutamente necesario. </w:t>
      </w:r>
      <w:r w:rsidRPr="00254E07">
        <w:rPr>
          <w:rFonts w:ascii="Helvetica Neue" w:hAnsi="Helvetica Neue" w:cs="Times New Roman"/>
          <w:i/>
          <w:iCs/>
          <w:color w:val="000000"/>
          <w:sz w:val="27"/>
          <w:szCs w:val="27"/>
        </w:rPr>
        <w:t>Lactancia</w:t>
      </w:r>
      <w:r w:rsidRPr="00254E07">
        <w:rPr>
          <w:rFonts w:ascii="Helvetica Neue" w:hAnsi="Helvetica Neue" w:cs="Times New Roman"/>
          <w:color w:val="000000"/>
          <w:sz w:val="27"/>
          <w:szCs w:val="27"/>
        </w:rPr>
        <w:t xml:space="preserve">: se desconoce si el montelukast es excretado con la leche materna. </w:t>
      </w:r>
      <w:proofErr w:type="gramStart"/>
      <w:r w:rsidRPr="00254E07">
        <w:rPr>
          <w:rFonts w:ascii="Helvetica Neue" w:hAnsi="Helvetica Neue" w:cs="Times New Roman"/>
          <w:color w:val="000000"/>
          <w:sz w:val="27"/>
          <w:szCs w:val="27"/>
        </w:rPr>
        <w:t>Como muchos medicamentos sí son excretados en la leche materna, se debe tener precaución cuando se administre montelukast a una mujer que está amamantando.</w:t>
      </w:r>
      <w:proofErr w:type="gramEnd"/>
      <w:r w:rsidRPr="00254E07">
        <w:rPr>
          <w:rFonts w:ascii="Helvetica Neue" w:hAnsi="Helvetica Neue" w:cs="Times New Roman"/>
          <w:color w:val="000000"/>
          <w:sz w:val="27"/>
          <w:szCs w:val="27"/>
        </w:rPr>
        <w:t> </w:t>
      </w:r>
      <w:r w:rsidRPr="00254E07">
        <w:rPr>
          <w:rFonts w:ascii="Helvetica Neue" w:hAnsi="Helvetica Neue" w:cs="Times New Roman"/>
          <w:i/>
          <w:iCs/>
          <w:color w:val="000000"/>
          <w:sz w:val="27"/>
          <w:szCs w:val="27"/>
        </w:rPr>
        <w:t>Uso en pediatría</w:t>
      </w:r>
      <w:r w:rsidRPr="00254E07">
        <w:rPr>
          <w:rFonts w:ascii="Helvetica Neue" w:hAnsi="Helvetica Neue" w:cs="Times New Roman"/>
          <w:color w:val="000000"/>
          <w:sz w:val="27"/>
          <w:szCs w:val="27"/>
        </w:rPr>
        <w:t>: El montelukast ha sido estudiado en pacientes pediátricos de 2 a 14 años de edad (ver Dosificación). No se ha estudiado la seguridad y eficacia en pacientes menores de 2 años de edad. </w:t>
      </w:r>
      <w:r w:rsidRPr="00254E07">
        <w:rPr>
          <w:rFonts w:ascii="Helvetica Neue" w:hAnsi="Helvetica Neue" w:cs="Times New Roman"/>
          <w:i/>
          <w:iCs/>
          <w:color w:val="000000"/>
          <w:sz w:val="27"/>
          <w:szCs w:val="27"/>
        </w:rPr>
        <w:t>Empleo en pacientes de edad avanzada</w:t>
      </w:r>
      <w:r w:rsidRPr="00254E07">
        <w:rPr>
          <w:rFonts w:ascii="Helvetica Neue" w:hAnsi="Helvetica Neue" w:cs="Times New Roman"/>
          <w:color w:val="000000"/>
          <w:sz w:val="27"/>
          <w:szCs w:val="27"/>
        </w:rPr>
        <w:t>: en los estudios clínicos, no hubo ninguna diferencia relacionada con la edad de los pacientes, en los perfiles de eficacia y seguridad del montelukast. </w:t>
      </w:r>
      <w:r w:rsidRPr="00254E07">
        <w:rPr>
          <w:rFonts w:ascii="Helvetica Neue" w:hAnsi="Helvetica Neue" w:cs="Times New Roman"/>
          <w:i/>
          <w:iCs/>
          <w:color w:val="000000"/>
          <w:sz w:val="27"/>
          <w:szCs w:val="27"/>
        </w:rPr>
        <w:t>Interacciones medicamentosas</w:t>
      </w:r>
      <w:r w:rsidRPr="00254E07">
        <w:rPr>
          <w:rFonts w:ascii="Helvetica Neue" w:hAnsi="Helvetica Neue" w:cs="Times New Roman"/>
          <w:color w:val="000000"/>
          <w:sz w:val="27"/>
          <w:szCs w:val="27"/>
        </w:rPr>
        <w:t>: El montelukast puede ser administrado con otros tratamientos usados comúnmente en la profilaxis y el tratamiento crónico del asma. En los estudios sobre interacciones farmacológicas, la dosis clínica recomendada de montelukast no tuvo efectos clínicamente importantes sobre la farmacocinética de las siguientes drogas: teofilina, prednisona, prednisolona, anticonceptivos orales (etinilestradiol/noretindrona 35/1), terfenadina, digoxina y warfarina. El área bajo la curva de concentración plasmática de montelukast disminuyó 40% aproximadamente con la administración concomitante de fenobarbital, pero no se recomienda ningún ajuste de la dosificación de INSPIROL</w:t>
      </w:r>
      <w:r w:rsidRPr="00254E07">
        <w:rPr>
          <w:rFonts w:ascii="Helvetica Neue" w:hAnsi="Helvetica Neue" w:cs="Times New Roman"/>
          <w:color w:val="000000"/>
          <w:sz w:val="27"/>
          <w:szCs w:val="27"/>
          <w:vertAlign w:val="superscript"/>
        </w:rPr>
        <w:t>®</w:t>
      </w:r>
      <w:r w:rsidRPr="00254E07">
        <w:rPr>
          <w:rFonts w:ascii="Helvetica Neue" w:hAnsi="Helvetica Neue" w:cs="Times New Roman"/>
          <w:color w:val="000000"/>
          <w:sz w:val="27"/>
          <w:szCs w:val="27"/>
        </w:rPr>
        <w:t>.</w:t>
      </w:r>
    </w:p>
    <w:p w:rsidR="00254E07" w:rsidRPr="00254E07" w:rsidRDefault="00254E07" w:rsidP="00254E07">
      <w:pPr>
        <w:spacing w:before="100" w:beforeAutospacing="1" w:after="100" w:afterAutospacing="1"/>
        <w:outlineLvl w:val="3"/>
        <w:rPr>
          <w:rFonts w:ascii="Helvetica Neue" w:eastAsia="Times New Roman" w:hAnsi="Helvetica Neue" w:cs="Times New Roman"/>
          <w:b/>
          <w:bCs/>
          <w:color w:val="000000"/>
          <w:sz w:val="27"/>
          <w:szCs w:val="27"/>
        </w:rPr>
      </w:pPr>
      <w:r w:rsidRPr="00254E07">
        <w:rPr>
          <w:rFonts w:ascii="Helvetica Neue" w:eastAsia="Times New Roman" w:hAnsi="Helvetica Neue" w:cs="Times New Roman"/>
          <w:b/>
          <w:bCs/>
          <w:color w:val="000000"/>
          <w:sz w:val="27"/>
          <w:szCs w:val="27"/>
        </w:rPr>
        <w:t>Conservación.</w:t>
      </w:r>
    </w:p>
    <w:p w:rsidR="00254E07" w:rsidRPr="00254E07" w:rsidRDefault="00254E07" w:rsidP="00254E07">
      <w:pPr>
        <w:spacing w:before="100" w:beforeAutospacing="1" w:after="100" w:afterAutospacing="1" w:line="360" w:lineRule="atLeast"/>
        <w:jc w:val="both"/>
        <w:rPr>
          <w:rFonts w:ascii="Helvetica Neue" w:hAnsi="Helvetica Neue" w:cs="Times New Roman"/>
          <w:color w:val="000000"/>
          <w:sz w:val="27"/>
          <w:szCs w:val="27"/>
        </w:rPr>
      </w:pPr>
      <w:proofErr w:type="gramStart"/>
      <w:r w:rsidRPr="00254E07">
        <w:rPr>
          <w:rFonts w:ascii="Helvetica Neue" w:hAnsi="Helvetica Neue" w:cs="Times New Roman"/>
          <w:color w:val="000000"/>
          <w:sz w:val="27"/>
          <w:szCs w:val="27"/>
        </w:rPr>
        <w:t>Consérvese entre 15 y 30°C, protegido de la luz y humedad.</w:t>
      </w:r>
      <w:proofErr w:type="gramEnd"/>
    </w:p>
    <w:p w:rsidR="00254E07" w:rsidRPr="00254E07" w:rsidRDefault="00254E07" w:rsidP="00254E07">
      <w:pPr>
        <w:spacing w:before="100" w:beforeAutospacing="1" w:after="100" w:afterAutospacing="1"/>
        <w:outlineLvl w:val="3"/>
        <w:rPr>
          <w:rFonts w:ascii="Helvetica Neue" w:eastAsia="Times New Roman" w:hAnsi="Helvetica Neue" w:cs="Times New Roman"/>
          <w:b/>
          <w:bCs/>
          <w:color w:val="000000"/>
          <w:sz w:val="27"/>
          <w:szCs w:val="27"/>
        </w:rPr>
      </w:pPr>
      <w:r w:rsidRPr="00254E07">
        <w:rPr>
          <w:rFonts w:ascii="Helvetica Neue" w:eastAsia="Times New Roman" w:hAnsi="Helvetica Neue" w:cs="Times New Roman"/>
          <w:b/>
          <w:bCs/>
          <w:color w:val="000000"/>
          <w:sz w:val="27"/>
          <w:szCs w:val="27"/>
        </w:rPr>
        <w:t>Sobredosificación.</w:t>
      </w:r>
    </w:p>
    <w:p w:rsidR="00254E07" w:rsidRPr="00254E07" w:rsidRDefault="00254E07" w:rsidP="00254E07">
      <w:pPr>
        <w:spacing w:before="100" w:beforeAutospacing="1" w:after="100" w:afterAutospacing="1" w:line="360" w:lineRule="atLeast"/>
        <w:jc w:val="both"/>
        <w:rPr>
          <w:rFonts w:ascii="Helvetica Neue" w:hAnsi="Helvetica Neue" w:cs="Times New Roman"/>
          <w:color w:val="000000"/>
          <w:sz w:val="27"/>
          <w:szCs w:val="27"/>
        </w:rPr>
      </w:pPr>
      <w:r w:rsidRPr="00254E07">
        <w:rPr>
          <w:rFonts w:ascii="Helvetica Neue" w:hAnsi="Helvetica Neue" w:cs="Times New Roman"/>
          <w:color w:val="000000"/>
          <w:sz w:val="27"/>
          <w:szCs w:val="27"/>
        </w:rPr>
        <w:t>No hay información específica sobre el tratamiento de la sobredosificación de INSPIROL</w:t>
      </w:r>
      <w:r w:rsidRPr="00254E07">
        <w:rPr>
          <w:rFonts w:ascii="Helvetica Neue" w:hAnsi="Helvetica Neue" w:cs="Times New Roman"/>
          <w:color w:val="000000"/>
          <w:sz w:val="27"/>
          <w:szCs w:val="27"/>
          <w:vertAlign w:val="superscript"/>
        </w:rPr>
        <w:t>®</w:t>
      </w:r>
      <w:r w:rsidRPr="00254E07">
        <w:rPr>
          <w:rFonts w:ascii="Helvetica Neue" w:hAnsi="Helvetica Neue" w:cs="Times New Roman"/>
          <w:color w:val="000000"/>
          <w:sz w:val="27"/>
          <w:szCs w:val="27"/>
        </w:rPr>
        <w:t xml:space="preserve">. Se ha administrado montelukast a pacientes asmáticos adultos en dosis de hasta 200 mg diarios </w:t>
      </w:r>
      <w:proofErr w:type="gramStart"/>
      <w:r w:rsidRPr="00254E07">
        <w:rPr>
          <w:rFonts w:ascii="Helvetica Neue" w:hAnsi="Helvetica Neue" w:cs="Times New Roman"/>
          <w:color w:val="000000"/>
          <w:sz w:val="27"/>
          <w:szCs w:val="27"/>
        </w:rPr>
        <w:t>durante</w:t>
      </w:r>
      <w:proofErr w:type="gramEnd"/>
      <w:r w:rsidRPr="00254E07">
        <w:rPr>
          <w:rFonts w:ascii="Helvetica Neue" w:hAnsi="Helvetica Neue" w:cs="Times New Roman"/>
          <w:color w:val="000000"/>
          <w:sz w:val="27"/>
          <w:szCs w:val="27"/>
        </w:rPr>
        <w:t xml:space="preserve"> 22 semanas y en estudios a corto plazo, en dosis de hasta 900 mg diarios durante una semana aproximadamente, sin reacciones adversas de importancia clínica. En niños se </w:t>
      </w:r>
      <w:proofErr w:type="gramStart"/>
      <w:r w:rsidRPr="00254E07">
        <w:rPr>
          <w:rFonts w:ascii="Helvetica Neue" w:hAnsi="Helvetica Neue" w:cs="Times New Roman"/>
          <w:color w:val="000000"/>
          <w:sz w:val="27"/>
          <w:szCs w:val="27"/>
        </w:rPr>
        <w:t>han</w:t>
      </w:r>
      <w:proofErr w:type="gramEnd"/>
      <w:r w:rsidRPr="00254E07">
        <w:rPr>
          <w:rFonts w:ascii="Helvetica Neue" w:hAnsi="Helvetica Neue" w:cs="Times New Roman"/>
          <w:color w:val="000000"/>
          <w:sz w:val="27"/>
          <w:szCs w:val="27"/>
        </w:rPr>
        <w:t xml:space="preserve"> comunicado casos de sobredosificación aguda en la experiencia postcomercialización en estudios; casos de administración de hasta 150 mg/día de montelukast. Los resultados clínicos y de laboratorio observados fueron consistentes con el perfil de seguridad en adultos y pacientes pediátricos mayores. </w:t>
      </w:r>
      <w:proofErr w:type="gramStart"/>
      <w:r w:rsidRPr="00254E07">
        <w:rPr>
          <w:rFonts w:ascii="Helvetica Neue" w:hAnsi="Helvetica Neue" w:cs="Times New Roman"/>
          <w:color w:val="000000"/>
          <w:sz w:val="27"/>
          <w:szCs w:val="27"/>
        </w:rPr>
        <w:t>Se desconoce si montelukast es dializable por diálisis peritoneal o por hemodiálisis.</w:t>
      </w:r>
      <w:proofErr w:type="gramEnd"/>
      <w:r w:rsidRPr="00254E07">
        <w:rPr>
          <w:rFonts w:ascii="Helvetica Neue" w:hAnsi="Helvetica Neue" w:cs="Times New Roman"/>
          <w:color w:val="000000"/>
          <w:sz w:val="27"/>
          <w:szCs w:val="27"/>
        </w:rPr>
        <w:t xml:space="preserve"> Ante la eventualidad de una sobredosificación, concurrir al Hospital más cercano o comunicarse con los Centros de Toxicología: Hospital de Pediatría "Ricardo Gutiérrez": (011) 4962-6666/2247. Hospital A. Posadas: (011) 4654-6648/ 4658-7777.</w:t>
      </w:r>
    </w:p>
    <w:p w:rsidR="00254E07" w:rsidRPr="00254E07" w:rsidRDefault="00254E07" w:rsidP="00254E07">
      <w:pPr>
        <w:spacing w:before="100" w:beforeAutospacing="1" w:after="100" w:afterAutospacing="1"/>
        <w:outlineLvl w:val="3"/>
        <w:rPr>
          <w:rFonts w:ascii="Helvetica Neue" w:eastAsia="Times New Roman" w:hAnsi="Helvetica Neue" w:cs="Times New Roman"/>
          <w:b/>
          <w:bCs/>
          <w:color w:val="000000"/>
          <w:sz w:val="27"/>
          <w:szCs w:val="27"/>
        </w:rPr>
      </w:pPr>
      <w:r w:rsidRPr="00254E07">
        <w:rPr>
          <w:rFonts w:ascii="Helvetica Neue" w:eastAsia="Times New Roman" w:hAnsi="Helvetica Neue" w:cs="Times New Roman"/>
          <w:b/>
          <w:bCs/>
          <w:color w:val="000000"/>
          <w:sz w:val="27"/>
          <w:szCs w:val="27"/>
        </w:rPr>
        <w:t>Presentación.</w:t>
      </w:r>
    </w:p>
    <w:p w:rsidR="00CA4A9B" w:rsidRPr="00254E07" w:rsidRDefault="00254E07" w:rsidP="00254E07">
      <w:pPr>
        <w:spacing w:before="100" w:beforeAutospacing="1" w:after="100" w:afterAutospacing="1" w:line="360" w:lineRule="atLeast"/>
        <w:jc w:val="both"/>
        <w:rPr>
          <w:rFonts w:ascii="Helvetica Neue" w:hAnsi="Helvetica Neue" w:cs="Times New Roman"/>
          <w:color w:val="000000"/>
          <w:sz w:val="27"/>
          <w:szCs w:val="27"/>
        </w:rPr>
      </w:pPr>
      <w:r w:rsidRPr="00254E07">
        <w:rPr>
          <w:rFonts w:ascii="Helvetica Neue" w:hAnsi="Helvetica Neue" w:cs="Times New Roman"/>
          <w:color w:val="000000"/>
          <w:sz w:val="27"/>
          <w:szCs w:val="27"/>
        </w:rPr>
        <w:t>INSPIROL</w:t>
      </w:r>
      <w:r w:rsidRPr="00254E07">
        <w:rPr>
          <w:rFonts w:ascii="Helvetica Neue" w:hAnsi="Helvetica Neue" w:cs="Times New Roman"/>
          <w:color w:val="000000"/>
          <w:sz w:val="27"/>
          <w:szCs w:val="27"/>
          <w:vertAlign w:val="superscript"/>
        </w:rPr>
        <w:t>®</w:t>
      </w:r>
      <w:r w:rsidRPr="00254E07">
        <w:rPr>
          <w:rFonts w:ascii="Helvetica Neue" w:hAnsi="Helvetica Neue" w:cs="Times New Roman"/>
          <w:color w:val="000000"/>
          <w:sz w:val="27"/>
          <w:szCs w:val="27"/>
        </w:rPr>
        <w:t> 10: Comprimidos recubiertos de 10 mg: envases conteniendo 30 comprimidos recubiertos. INSPIROL</w:t>
      </w:r>
      <w:r w:rsidRPr="00254E07">
        <w:rPr>
          <w:rFonts w:ascii="Helvetica Neue" w:hAnsi="Helvetica Neue" w:cs="Times New Roman"/>
          <w:color w:val="000000"/>
          <w:sz w:val="27"/>
          <w:szCs w:val="27"/>
          <w:vertAlign w:val="superscript"/>
        </w:rPr>
        <w:t>®</w:t>
      </w:r>
      <w:r w:rsidRPr="00254E07">
        <w:rPr>
          <w:rFonts w:ascii="Helvetica Neue" w:hAnsi="Helvetica Neue" w:cs="Times New Roman"/>
          <w:color w:val="000000"/>
          <w:sz w:val="27"/>
          <w:szCs w:val="27"/>
        </w:rPr>
        <w:t> 4: Comprimidos masticables de 4 mg: envases conteniendo 30 comprimidos masticables. INSPIROL</w:t>
      </w:r>
      <w:r w:rsidRPr="00254E07">
        <w:rPr>
          <w:rFonts w:ascii="Helvetica Neue" w:hAnsi="Helvetica Neue" w:cs="Times New Roman"/>
          <w:color w:val="000000"/>
          <w:sz w:val="27"/>
          <w:szCs w:val="27"/>
          <w:vertAlign w:val="superscript"/>
        </w:rPr>
        <w:t>®</w:t>
      </w:r>
      <w:r w:rsidRPr="00254E07">
        <w:rPr>
          <w:rFonts w:ascii="Helvetica Neue" w:hAnsi="Helvetica Neue" w:cs="Times New Roman"/>
          <w:color w:val="000000"/>
          <w:sz w:val="27"/>
          <w:szCs w:val="27"/>
        </w:rPr>
        <w:t> 5: Comprimidos masticables de 5 mg: envases conteniendo 30 comprimidos masticables.</w:t>
      </w:r>
      <w:bookmarkStart w:id="0" w:name="_GoBack"/>
      <w:bookmarkEnd w:id="0"/>
    </w:p>
    <w:sectPr w:rsidR="00CA4A9B" w:rsidRPr="00254E07" w:rsidSect="00CA4A9B">
      <w:pgSz w:w="11900" w:h="16840"/>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E07"/>
    <w:rsid w:val="00254E07"/>
    <w:rsid w:val="00CA4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557F10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254E07"/>
    <w:pPr>
      <w:spacing w:before="100" w:beforeAutospacing="1" w:after="100" w:afterAutospacing="1"/>
      <w:outlineLvl w:val="0"/>
    </w:pPr>
    <w:rPr>
      <w:rFonts w:ascii="Times" w:hAnsi="Times"/>
      <w:b/>
      <w:bCs/>
      <w:kern w:val="36"/>
      <w:sz w:val="48"/>
      <w:szCs w:val="48"/>
    </w:rPr>
  </w:style>
  <w:style w:type="paragraph" w:styleId="Ttulo2">
    <w:name w:val="heading 2"/>
    <w:basedOn w:val="Normal"/>
    <w:link w:val="Ttulo2Car"/>
    <w:uiPriority w:val="9"/>
    <w:qFormat/>
    <w:rsid w:val="00254E07"/>
    <w:pPr>
      <w:spacing w:before="100" w:beforeAutospacing="1" w:after="100" w:afterAutospacing="1"/>
      <w:outlineLvl w:val="1"/>
    </w:pPr>
    <w:rPr>
      <w:rFonts w:ascii="Times" w:hAnsi="Times"/>
      <w:b/>
      <w:bCs/>
      <w:sz w:val="36"/>
      <w:szCs w:val="36"/>
    </w:rPr>
  </w:style>
  <w:style w:type="paragraph" w:styleId="Ttulo4">
    <w:name w:val="heading 4"/>
    <w:basedOn w:val="Normal"/>
    <w:link w:val="Ttulo4Car"/>
    <w:uiPriority w:val="9"/>
    <w:qFormat/>
    <w:rsid w:val="00254E07"/>
    <w:pPr>
      <w:spacing w:before="100" w:beforeAutospacing="1" w:after="100" w:afterAutospacing="1"/>
      <w:outlineLvl w:val="3"/>
    </w:pPr>
    <w:rPr>
      <w:rFonts w:ascii="Times" w:hAnsi="Times"/>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54E07"/>
    <w:rPr>
      <w:rFonts w:ascii="Times" w:hAnsi="Times"/>
      <w:b/>
      <w:bCs/>
      <w:kern w:val="36"/>
      <w:sz w:val="48"/>
      <w:szCs w:val="48"/>
    </w:rPr>
  </w:style>
  <w:style w:type="character" w:customStyle="1" w:styleId="Ttulo2Car">
    <w:name w:val="Título 2 Car"/>
    <w:basedOn w:val="Fuentedeprrafopredeter"/>
    <w:link w:val="Ttulo2"/>
    <w:uiPriority w:val="9"/>
    <w:rsid w:val="00254E07"/>
    <w:rPr>
      <w:rFonts w:ascii="Times" w:hAnsi="Times"/>
      <w:b/>
      <w:bCs/>
      <w:sz w:val="36"/>
      <w:szCs w:val="36"/>
    </w:rPr>
  </w:style>
  <w:style w:type="character" w:customStyle="1" w:styleId="Ttulo4Car">
    <w:name w:val="Título 4 Car"/>
    <w:basedOn w:val="Fuentedeprrafopredeter"/>
    <w:link w:val="Ttulo4"/>
    <w:uiPriority w:val="9"/>
    <w:rsid w:val="00254E07"/>
    <w:rPr>
      <w:rFonts w:ascii="Times" w:hAnsi="Times"/>
      <w:b/>
      <w:bCs/>
    </w:rPr>
  </w:style>
  <w:style w:type="paragraph" w:styleId="NormalWeb">
    <w:name w:val="Normal (Web)"/>
    <w:basedOn w:val="Normal"/>
    <w:uiPriority w:val="99"/>
    <w:semiHidden/>
    <w:unhideWhenUsed/>
    <w:rsid w:val="00254E07"/>
    <w:pPr>
      <w:spacing w:before="100" w:beforeAutospacing="1" w:after="100" w:afterAutospacing="1"/>
    </w:pPr>
    <w:rPr>
      <w:rFonts w:ascii="Times" w:hAnsi="Times" w:cs="Times New Roman"/>
      <w:sz w:val="20"/>
      <w:szCs w:val="20"/>
    </w:rPr>
  </w:style>
  <w:style w:type="character" w:customStyle="1" w:styleId="apple-converted-space">
    <w:name w:val="apple-converted-space"/>
    <w:basedOn w:val="Fuentedeprrafopredeter"/>
    <w:rsid w:val="00254E0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254E07"/>
    <w:pPr>
      <w:spacing w:before="100" w:beforeAutospacing="1" w:after="100" w:afterAutospacing="1"/>
      <w:outlineLvl w:val="0"/>
    </w:pPr>
    <w:rPr>
      <w:rFonts w:ascii="Times" w:hAnsi="Times"/>
      <w:b/>
      <w:bCs/>
      <w:kern w:val="36"/>
      <w:sz w:val="48"/>
      <w:szCs w:val="48"/>
    </w:rPr>
  </w:style>
  <w:style w:type="paragraph" w:styleId="Ttulo2">
    <w:name w:val="heading 2"/>
    <w:basedOn w:val="Normal"/>
    <w:link w:val="Ttulo2Car"/>
    <w:uiPriority w:val="9"/>
    <w:qFormat/>
    <w:rsid w:val="00254E07"/>
    <w:pPr>
      <w:spacing w:before="100" w:beforeAutospacing="1" w:after="100" w:afterAutospacing="1"/>
      <w:outlineLvl w:val="1"/>
    </w:pPr>
    <w:rPr>
      <w:rFonts w:ascii="Times" w:hAnsi="Times"/>
      <w:b/>
      <w:bCs/>
      <w:sz w:val="36"/>
      <w:szCs w:val="36"/>
    </w:rPr>
  </w:style>
  <w:style w:type="paragraph" w:styleId="Ttulo4">
    <w:name w:val="heading 4"/>
    <w:basedOn w:val="Normal"/>
    <w:link w:val="Ttulo4Car"/>
    <w:uiPriority w:val="9"/>
    <w:qFormat/>
    <w:rsid w:val="00254E07"/>
    <w:pPr>
      <w:spacing w:before="100" w:beforeAutospacing="1" w:after="100" w:afterAutospacing="1"/>
      <w:outlineLvl w:val="3"/>
    </w:pPr>
    <w:rPr>
      <w:rFonts w:ascii="Times" w:hAnsi="Times"/>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54E07"/>
    <w:rPr>
      <w:rFonts w:ascii="Times" w:hAnsi="Times"/>
      <w:b/>
      <w:bCs/>
      <w:kern w:val="36"/>
      <w:sz w:val="48"/>
      <w:szCs w:val="48"/>
    </w:rPr>
  </w:style>
  <w:style w:type="character" w:customStyle="1" w:styleId="Ttulo2Car">
    <w:name w:val="Título 2 Car"/>
    <w:basedOn w:val="Fuentedeprrafopredeter"/>
    <w:link w:val="Ttulo2"/>
    <w:uiPriority w:val="9"/>
    <w:rsid w:val="00254E07"/>
    <w:rPr>
      <w:rFonts w:ascii="Times" w:hAnsi="Times"/>
      <w:b/>
      <w:bCs/>
      <w:sz w:val="36"/>
      <w:szCs w:val="36"/>
    </w:rPr>
  </w:style>
  <w:style w:type="character" w:customStyle="1" w:styleId="Ttulo4Car">
    <w:name w:val="Título 4 Car"/>
    <w:basedOn w:val="Fuentedeprrafopredeter"/>
    <w:link w:val="Ttulo4"/>
    <w:uiPriority w:val="9"/>
    <w:rsid w:val="00254E07"/>
    <w:rPr>
      <w:rFonts w:ascii="Times" w:hAnsi="Times"/>
      <w:b/>
      <w:bCs/>
    </w:rPr>
  </w:style>
  <w:style w:type="paragraph" w:styleId="NormalWeb">
    <w:name w:val="Normal (Web)"/>
    <w:basedOn w:val="Normal"/>
    <w:uiPriority w:val="99"/>
    <w:semiHidden/>
    <w:unhideWhenUsed/>
    <w:rsid w:val="00254E07"/>
    <w:pPr>
      <w:spacing w:before="100" w:beforeAutospacing="1" w:after="100" w:afterAutospacing="1"/>
    </w:pPr>
    <w:rPr>
      <w:rFonts w:ascii="Times" w:hAnsi="Times" w:cs="Times New Roman"/>
      <w:sz w:val="20"/>
      <w:szCs w:val="20"/>
    </w:rPr>
  </w:style>
  <w:style w:type="character" w:customStyle="1" w:styleId="apple-converted-space">
    <w:name w:val="apple-converted-space"/>
    <w:basedOn w:val="Fuentedeprrafopredeter"/>
    <w:rsid w:val="00254E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440051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1824</Words>
  <Characters>10037</Characters>
  <Application>Microsoft Macintosh Word</Application>
  <DocSecurity>0</DocSecurity>
  <Lines>83</Lines>
  <Paragraphs>23</Paragraphs>
  <ScaleCrop>false</ScaleCrop>
  <Company/>
  <LinksUpToDate>false</LinksUpToDate>
  <CharactersWithSpaces>11838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dc:creator>
  <cp:keywords/>
  <dc:description/>
  <cp:lastModifiedBy>Angel</cp:lastModifiedBy>
  <cp:revision>1</cp:revision>
  <dcterms:created xsi:type="dcterms:W3CDTF">2015-11-04T20:40:00Z</dcterms:created>
  <dcterms:modified xsi:type="dcterms:W3CDTF">2015-11-04T20:41:00Z</dcterms:modified>
</cp:coreProperties>
</file>